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80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2</w:t>
      </w:r>
    </w:p>
    <w:p>
      <w:pPr>
        <w:spacing w:before="153" w:line="200" w:lineRule="exact"/>
        <w:ind w:left="3513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29 - 56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90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Company (Printers) Ltd.</w:t>
      </w:r>
    </w:p>
    <w:p>
      <w:pPr>
        <w:spacing w:before="16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36" w:line="19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FUNDAMENTAL RIGHTS -</w:t>
      </w:r>
      <w:r>
        <w:rPr>
          <w:b w:val="true"/>
          <w:sz w:val="16"/>
          <w:szCs w:val="16"/>
          <w:rFonts w:ascii="Arimo" w:hAnsi="Arimo" w:cs="Arimo"/>
          <w:color w:val="231f20"/>
          <w:spacing w:val="44"/>
        </w:rPr>
        <w:t xml:space="preserve"> </w:t>
      </w:r>
      <w:r>
        <w:rPr>
          <w:spacing w:val="8"/>
          <w:sz w:val="16"/>
          <w:szCs w:val="16"/>
          <w:rFonts w:ascii="Arimo" w:hAnsi="Arimo" w:cs="Arimo"/>
          <w:color w:val="231f20"/>
        </w:rPr>
        <w:t xml:space="preserve">Article 12(1) of the Constitution - Right to</w:t>
      </w:r>
      <w:r>
        <w:rPr>
          <w:sz w:val="16"/>
          <w:szCs w:val="16"/>
          <w:rFonts w:ascii="Arimo" w:hAnsi="Arimo" w:cs="Arimo"/>
          <w:color w:val="231f20"/>
          <w:spacing w:val="385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29</w:t>
      </w:r>
    </w:p>
    <w:p>
      <w:pPr>
        <w:spacing w:before="49" w:line="160" w:lineRule="exact"/>
        <w:ind w:left="1477"/>
      </w:pPr>
      <w:r>
        <w:rPr>
          <w:spacing w:val="4"/>
          <w:sz w:val="16"/>
          <w:szCs w:val="16"/>
          <w:rFonts w:ascii="Arimo" w:hAnsi="Arimo" w:cs="Arimo"/>
          <w:color w:val="231f20"/>
        </w:rPr>
        <w:t xml:space="preserve">equality - Concept of legitimate expectation - Principle of equality -</w:t>
      </w:r>
    </w:p>
    <w:p>
      <w:pPr>
        <w:spacing w:before="32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Principle of rational of reasonable classifcation. - Z score - formula -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Mean and standard deviation.</w:t>
      </w:r>
    </w:p>
    <w:p>
      <w:pPr>
        <w:spacing w:before="145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Dananjanie De Alwis V. Anura Edirisinghe (Commissioner General</w:t>
      </w:r>
    </w:p>
    <w:p>
      <w:pPr>
        <w:spacing w:before="32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Of Examinations) And 7 Others</w:t>
      </w:r>
    </w:p>
    <w:p>
      <w:pPr>
        <w:spacing w:before="96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from Part 1)</w:t>
      </w:r>
    </w:p>
    <w:p>
      <w:pPr>
        <w:spacing w:before="309" w:line="174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FUNDAMENTAL RIGHT -</w:t>
      </w:r>
      <w:r>
        <w:rPr>
          <w:b w:val="true"/>
          <w:sz w:val="16"/>
          <w:szCs w:val="16"/>
          <w:rFonts w:ascii="Arimo" w:hAnsi="Arimo" w:cs="Arimo"/>
          <w:color w:val="231f20"/>
          <w:spacing w:val="6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Constitution - Article 12(1) - Right to equality - All</w:t>
      </w:r>
      <w:r>
        <w:rPr>
          <w:sz w:val="16"/>
          <w:szCs w:val="16"/>
          <w:rFonts w:ascii="Arimo" w:hAnsi="Arimo" w:cs="Arimo"/>
          <w:color w:val="231f20"/>
          <w:spacing w:val="385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43</w:t>
      </w:r>
    </w:p>
    <w:p>
      <w:pPr>
        <w:spacing w:before="40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persons are equal before the law?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DR. Perera v. Justice Perera and 11 others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in Part 3)</w:t>
      </w:r>
    </w:p>
    <w:p>
      <w:pPr>
        <w:spacing w:before="312" w:line="17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MOTOR ACCIDENT -</w:t>
      </w:r>
      <w:r>
        <w:rPr>
          <w:b w:val="true"/>
          <w:sz w:val="16"/>
          <w:szCs w:val="16"/>
          <w:rFonts w:ascii="Arimo" w:hAnsi="Arimo" w:cs="Arimo"/>
          <w:color w:val="231f20"/>
          <w:spacing w:val="-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Damages - Negligence of defendant while driving car -</w:t>
      </w:r>
      <w:r>
        <w:rPr>
          <w:sz w:val="16"/>
          <w:szCs w:val="16"/>
          <w:rFonts w:ascii="Arimo" w:hAnsi="Arimo" w:cs="Arimo"/>
          <w:color w:val="231f20"/>
          <w:spacing w:val="385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34</w:t>
      </w:r>
    </w:p>
    <w:p>
      <w:pPr>
        <w:spacing w:before="40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Injuring passenger - Pleading guilty in Magistrate’s Court - Is it relevant?</w:t>
      </w:r>
    </w:p>
    <w:p>
      <w:pPr>
        <w:spacing w:before="39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Evidence Ordinance Section 41 (A), Section 41 (A) 2,- Damages under</w:t>
      </w:r>
    </w:p>
    <w:p>
      <w:pPr>
        <w:spacing w:before="40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law of Tort.</w:t>
      </w:r>
    </w:p>
    <w:p>
      <w:pPr>
        <w:spacing w:before="153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Rosairo Vs. Basnayake</w:t>
      </w:r>
    </w:p>
    <w:p>
      <w:pPr>
        <w:spacing w:before="88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Dananjanie De Alwis V. Anura Edirisinghe (Commissioner General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7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Of Examinations) And 7 Others (Dr. Shirani A. Bandaranayake,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9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29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concept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examined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0" w:line="20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 Westminister City Council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where Lord Bridge had stated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that,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Courts have developed a relatively novel doctrine in</w:t>
      </w:r>
    </w:p>
    <w:p>
      <w:pPr>
        <w:spacing w:before="5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public law that a duty of consultation may arise from a</w:t>
      </w:r>
    </w:p>
    <w:p>
      <w:pPr>
        <w:spacing w:before="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 expectation of consultation aroused either by</w:t>
      </w:r>
    </w:p>
    <w:p>
      <w:pPr>
        <w:spacing w:before="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promise or by an established practice of consultation”.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observations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David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Foulkes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applicability  of  the  concept  of  legitimate  expectation  was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clearly illustrated by the decisions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of Hong</w:t>
      </w:r>
    </w:p>
    <w:p>
      <w:pPr>
        <w:spacing w:before="0" w:line="207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Kong v Ng Tuen Shiu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5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Council of Civil Service Unions v.</w:t>
      </w:r>
    </w:p>
    <w:p>
      <w:pPr>
        <w:spacing w:before="8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Minister for the Civil Service (The GCHQ case)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4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Ng Tuen Shiu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(supra), the decision of the Court that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aggrieved party had a legitimate expectation was based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a promise given by the Government, whereas in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Council</w:t>
      </w:r>
    </w:p>
    <w:p>
      <w:pPr>
        <w:spacing w:before="5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 Civil Service Unions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(supra), the decision was based on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legitimate expectation that arose out of a regular practice.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the  circumstances,  it  is  evident  that  a  mere  hope  or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treated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expectation.</w:t>
      </w:r>
    </w:p>
    <w:p>
      <w:pPr>
        <w:spacing w:before="24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is therefore quite clear that it would be necessary for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party which claims the beneft of legitimate or reasonable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  to  show  that  such  expectation  arises  from  a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promise or hope given by the authority in question. As stated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earlier, it is not disputed that the results of the Advance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Level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03.01.2009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Department of Examinations and it is not an unknown fact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after every such release of results there would be a time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period allocated to apply for re-scrutiny by candidates who</w:t>
      </w:r>
    </w:p>
    <w:p>
      <w:pPr>
        <w:spacing w:before="0" w:line="207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are so inclined. In fact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had annexed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affdavit a document (1R1), 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ated 01.01.2009, which had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referred to the likelihood of changes to the Z score at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re-scrutiny stage. Further it had been stated that the results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were released in January 2009 were only provisional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subject to change after re-scrutiny, giving a clear indica-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that the results that were released in January 2009 were</w:t>
      </w:r>
    </w:p>
    <w:p>
      <w:pPr>
        <w:spacing w:before="4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provisional, and the Z scores that were released would change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 re-scrutiny results are released.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petitioner’s main grievance is based on the fact that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her Z score was varied due to the changes that were made</w:t>
      </w:r>
    </w:p>
    <w:p>
      <w:pPr>
        <w:spacing w:before="3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after the re-scrutiny and based on her original results she had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legitimate expectation in entering into a Medical Faculty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 local University. In the</w:t>
      </w:r>
      <w:r>
        <w:rPr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Council of Civil Service Unions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(Supra), Lord Diplock had clearly referred to the applicability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situation.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Consider-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ing the doctrine in terms of expectation to be consulted or</w:t>
      </w:r>
    </w:p>
    <w:p>
      <w:pPr>
        <w:spacing w:before="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heard, Lord Diplock had stated that, if a person relies on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legitimate past practice that had been withdrawn or changed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suddenly without any notice or reason for such withdrawal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change.</w:t>
      </w:r>
    </w:p>
    <w:p>
      <w:pPr>
        <w:spacing w:before="23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present application, as has been shown clearly,</w:t>
      </w:r>
    </w:p>
    <w:p>
      <w:pPr>
        <w:spacing w:before="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there is no material to indicate that the past practice has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been changed or withdrawn at the time the petitioner had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sat for the Advanced Level Examination or at the time 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results  were  released.  On  the  contrary  the  same  system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which was used in the previous year had been followed and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candidates were told that depending on the results of the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re-scrutiny of papers, the Z scores could change. In fact by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year 2008 the students who sat for the Advanced Level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Examination knew that the selection to Universities and to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their different Faculties were based  on  their individual Z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scores and those students who sat for the Advanced Level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Examination were quite aware as to how it worked, as there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Dananjanie De Alwis V. Anura Edirisinghe (Commissioner General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7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Of Examinations) And 7 Others (Dr. Shirani A. Bandaranayake,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9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31</w:t>
      </w:r>
    </w:p>
    <w:p>
      <w:pPr>
        <w:spacing w:before="38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was general awareness of the said system. In these circum-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stances it would not be correct for the petitioner to state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the previous scheme had been changed without giving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her an opportunity to express her views on the selection 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candidates to universities.</w:t>
      </w:r>
    </w:p>
    <w:p>
      <w:pPr>
        <w:spacing w:before="23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petitioner’s complaint that her fundamental right</w:t>
      </w:r>
    </w:p>
    <w:p>
      <w:pPr>
        <w:spacing w:before="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guaranteed in terms of Article 12(1) had been violated is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based on the concept of legitimate expectation as she had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such an expectation that she would be selected to follow a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course in Medicine.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 12(1) of the Constitution, which refers to the right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equality reads as follows: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i w:val="true"/>
          <w:spacing w:val="16"/>
          <w:sz w:val="21"/>
          <w:szCs w:val="21"/>
          <w:rFonts w:ascii="Cambria" w:hAnsi="Cambria" w:cs="Cambria"/>
          <w:color w:val="231f20"/>
        </w:rPr>
        <w:t xml:space="preserve">“All persons are equal before the law and are entitled to</w:t>
      </w:r>
    </w:p>
    <w:p>
      <w:pPr>
        <w:spacing w:before="39" w:line="246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equal protection of the law.”</w:t>
      </w:r>
    </w:p>
    <w:p>
      <w:pPr>
        <w:spacing w:before="23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concept of equality means that equals should be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treated alike. As has been clearly stated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Gauri Shanker v.</w:t>
      </w:r>
    </w:p>
    <w:p>
      <w:pPr>
        <w:spacing w:before="0" w:line="19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Union of India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</w:p>
    <w:p>
      <w:pPr>
        <w:spacing w:before="32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“. . . . that equals should not be treated unlike and</w:t>
      </w:r>
    </w:p>
    <w:p>
      <w:pPr>
        <w:spacing w:before="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unlikes  should  not  be  treated  alike.  Likes  should  be</w:t>
      </w:r>
    </w:p>
    <w:p>
      <w:pPr>
        <w:spacing w:before="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treated alike.”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Indian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deals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with the equality provision and is similar to Article 12(1)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our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examined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several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Indian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decisions.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Ashutosh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Gupta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State</w:t>
      </w:r>
    </w:p>
    <w:p>
      <w:pPr>
        <w:spacing w:before="0" w:line="19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Rajasthan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pointed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apply</w:t>
      </w:r>
      <w:r>
        <w:rPr>
          <w:sz w:val="21"/>
          <w:szCs w:val="21"/>
          <w:rFonts w:ascii="Bookman Old Style" w:hAnsi="Bookman Old Style" w:cs="Bookman Old Style"/>
          <w:color w:val="231f20"/>
          <w:spacing w:val="1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2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principle of equality in a practical manner, the Courts have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evolved the principle that if the law in question is based on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rational classifcation it is not regarded as discriminatory.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Indian Supreme Court has accordingly underlined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 principle  in  several  decisions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Western  Uttar  Pradesh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Electric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Power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Supply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Ltd.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Uttar</w:t>
      </w:r>
    </w:p>
    <w:p>
      <w:pPr>
        <w:spacing w:before="0" w:line="19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Pradesh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R.K. Garg v. Union of India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Re: Special Courts</w:t>
      </w:r>
    </w:p>
    <w:p>
      <w:pPr>
        <w:spacing w:before="7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Bill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12"/>
          <w:szCs w:val="12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Uttar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Pradesh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Kamla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Palace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  <w:r>
        <w:rPr>
          <w:sz w:val="12"/>
          <w:szCs w:val="12"/>
          <w:rFonts w:ascii="Bookman Old Style" w:hAnsi="Bookman Old Style" w:cs="Bookman Old Style"/>
          <w:color w:val="231f20"/>
          <w:spacing w:val="1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12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enumerated the principle that reasonable classifcation in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to treat all in one class on an equal footing is allowed.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stated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Western Uttar Pradesh Electric Power and</w:t>
      </w:r>
    </w:p>
    <w:p>
      <w:pPr>
        <w:spacing w:before="3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Supply Co. Ltd.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(Supra) that,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96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“Article 14 of the Constitution ensures equality among</w:t>
      </w:r>
    </w:p>
    <w:p>
      <w:pPr>
        <w:spacing w:before="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equals:  its  aim  is  to  protect  persons  similarly  placed</w:t>
      </w:r>
    </w:p>
    <w:p>
      <w:pPr>
        <w:spacing w:before="3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against discriminatory treatment. It does not however</w:t>
      </w:r>
    </w:p>
    <w:p>
      <w:pPr>
        <w:spacing w:before="3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operate against rational classifcation. A person setting</w:t>
      </w:r>
    </w:p>
    <w:p>
      <w:pPr>
        <w:spacing w:before="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 a grievance of denial of equal treatment by law must</w:t>
      </w:r>
    </w:p>
    <w:p>
      <w:pPr>
        <w:spacing w:before="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establish that between persons similarly circumstanced,</w:t>
      </w:r>
    </w:p>
    <w:p>
      <w:pPr>
        <w:spacing w:before="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some were treated to their prejudice and the differential</w:t>
      </w:r>
    </w:p>
    <w:p>
      <w:pPr>
        <w:spacing w:before="39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treatment had no reasonable relation to the object sought</w:t>
      </w:r>
    </w:p>
    <w:p>
      <w:pPr>
        <w:spacing w:before="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achieved by the law.”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Constitutional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 in Article 12(1) deals with the right to equality and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applicability of legitimate expectation on that basis, it is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apparent that the expectation in question should have been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founded upon a statement or an undertaking given by the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authority in question, which would make it inconsistent or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irrational with the general administration to deny such an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opportunity a petitioner has been claiming of through his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petition. Otherwise the petitioner must show that, as has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stated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Council of Civil Service Unions v. Minister</w:t>
      </w:r>
    </w:p>
    <w:p>
      <w:pPr>
        <w:spacing w:before="3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for the Civil Service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(Supra) that there is the existence of a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regular practice, on which the petitioner can reasonable rely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 to continue, in his favour.</w:t>
      </w:r>
    </w:p>
    <w:p>
      <w:pPr>
        <w:spacing w:before="23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Considering all the aforementioned, it is clear that the</w:t>
      </w:r>
    </w:p>
    <w:p>
      <w:pPr>
        <w:spacing w:before="0" w:line="19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respondents had not given any promise or an</w:t>
      </w:r>
    </w:p>
    <w:p>
      <w:pPr>
        <w:spacing w:before="12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undertaking that the Z score would be decided on the basis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165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Dananjanie De Alwis V. Anura Edirisinghe (Commissioner General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7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Of Examinations) And 7 Others (Dr. Shirani A. Bandaranayake, CJ)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9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provisional results released on 03.01.2009. In fact the</w:t>
      </w:r>
    </w:p>
    <w:p>
      <w:pPr>
        <w:spacing w:before="0" w:line="18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 had informed the school authorities that the</w:t>
      </w:r>
    </w:p>
    <w:p>
      <w:pPr>
        <w:spacing w:before="1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results released in January 2009 were only provisional. 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indication that was given was that there would be two classes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students  as  there  would  be  one  group  who  would  be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applying for re-scrutiny. It is also to be borne in mind that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Z scores would be fnally determined and announced only</w:t>
      </w:r>
    </w:p>
    <w:p>
      <w:pPr>
        <w:spacing w:before="3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after the re-scrutiny of the results are fnalized and this had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the practice for several years.</w:t>
      </w:r>
    </w:p>
    <w:p>
      <w:pPr>
        <w:spacing w:before="23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Considering all the aforementioned facts and circum-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stances, it is evident that the steps that were taken by 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cannot be categorized as arbitrary and unlawful,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had violated the petitioner’s fundamental rights guar-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anteed in terms of Article 12(1) of the Constitution.</w:t>
      </w:r>
    </w:p>
    <w:p>
      <w:pPr>
        <w:spacing w:before="2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reasons aforesaid, I hold that the petitioner has</w:t>
      </w:r>
    </w:p>
    <w:p>
      <w:pPr>
        <w:spacing w:before="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not been successful in establishing that her fundamental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 guaranteed in terms of Article 12(1) of the Constitution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had been infringed by the respondents. This application is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dismissed. I make no order as to costs.</w:t>
      </w:r>
    </w:p>
    <w:p>
      <w:pPr>
        <w:spacing w:before="23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IMaM,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46" w:line="246" w:lineRule="exact"/>
        <w:ind w:left="1077"/>
      </w:pPr>
      <w:r>
        <w:rPr>
          <w:b w:val="true"/>
          <w:spacing w:val="15"/>
          <w:sz w:val="21"/>
          <w:szCs w:val="21"/>
          <w:rFonts w:ascii="Bookman Old Style" w:hAnsi="Bookman Old Style" w:cs="Bookman Old Style"/>
          <w:color w:val="231f20"/>
        </w:rPr>
        <w:t xml:space="preserve">SUrESh ChaNdra, 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4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2831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ROSAIRO VS. BASNAYAkE</w:t>
      </w:r>
    </w:p>
    <w:p>
      <w:pPr>
        <w:spacing w:before="575" w:line="211" w:lineRule="exact"/>
        <w:ind w:left="1077"/>
      </w:pPr>
      <w:r>
        <w:rPr>
          <w:spacing w:val="18"/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ABDUS SALAM, J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901/2004 (F)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DC (COLOMBO) 21706/M</w:t>
      </w:r>
    </w:p>
    <w:p>
      <w:pPr>
        <w:spacing w:before="0" w:line="14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2007</w:t>
      </w:r>
    </w:p>
    <w:p>
      <w:pPr>
        <w:spacing w:before="48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Motor Accident - Damages - Negligence of defendant while driving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car - Injuring passenger - Pleading guilty in Magistrate’s Court - Is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it relevant? - Evidence Ordinance Section 41 (A), Section 41 (A) 2,</w:t>
      </w:r>
    </w:p>
    <w:p>
      <w:pPr>
        <w:spacing w:before="1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 Damages under law of Tort.</w:t>
      </w:r>
    </w:p>
    <w:p>
      <w:pPr>
        <w:spacing w:before="18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plaintiff instituted action against the defendant-appellant follow-</w:t>
      </w:r>
    </w:p>
    <w:p>
      <w:pPr>
        <w:spacing w:before="1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ing a vehicular accident alleged to have taken place due to the neg-</w:t>
      </w:r>
    </w:p>
    <w:p>
      <w:pPr>
        <w:spacing w:before="1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ligence of the defendant driver - the plaintiff was a passenger in the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car. After trial Court awarded Rs. 1,17040/50 as special damages and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Rs. 4,956,000/- as general damages. on appeal - it was contended that</w:t>
      </w:r>
    </w:p>
    <w:p>
      <w:pPr>
        <w:spacing w:before="14" w:line="211" w:lineRule="exact"/>
        <w:ind w:left="1077"/>
      </w:pP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there was no proof of negligence and that in any event the computation of</w:t>
      </w:r>
    </w:p>
    <w:p>
      <w:pPr>
        <w:spacing w:before="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damages was wrong.</w:t>
      </w:r>
    </w:p>
    <w:p>
      <w:pPr>
        <w:spacing w:before="18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trial Judge has in her order quite correctly taken into consid-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eration the evidentiary value of the order in the Magistrate’s Court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case - where the defendant had pleaded guilty to the charges of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negligent driving of the motor car and failing to avoid the accident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complained of.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Abdus Salam, J.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“A plea of guilt is most relevant and ought to be taken into</w:t>
      </w:r>
    </w:p>
    <w:p>
      <w:pPr>
        <w:spacing w:before="1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consideration in assessing the plaintiff’s case and further plea</w:t>
      </w:r>
    </w:p>
    <w:p>
      <w:pPr>
        <w:spacing w:before="1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of guilt on a charge of failing to avoid an accident by the driver</w:t>
      </w:r>
    </w:p>
    <w:p>
      <w:pPr>
        <w:spacing w:before="1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cannot be lightly ignored in considering as to whose negligence</w:t>
      </w:r>
    </w:p>
    <w:p>
      <w:pPr>
        <w:spacing w:before="1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it was which caused the accident” - Section 41 (A) (2) - Evidence</w:t>
      </w:r>
    </w:p>
    <w:p>
      <w:pPr>
        <w:spacing w:before="1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Ordinance.</w:t>
      </w:r>
    </w:p>
    <w:p>
      <w:pPr>
        <w:spacing w:before="18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evidence adduced by the plaintiff, before the trial Judge was</w:t>
      </w:r>
    </w:p>
    <w:p>
      <w:pPr>
        <w:spacing w:before="14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such which is capable of giving rise to a reasonable inference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29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Rosairo Vs. Basnayake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3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Salam.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20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</w:t>
      </w:r>
    </w:p>
    <w:p>
      <w:pPr>
        <w:spacing w:before="390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of negligence on the part of the driver of the offending vehicle.</w:t>
      </w:r>
    </w:p>
    <w:p>
      <w:pPr>
        <w:spacing w:before="44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The defendant has not been able to negative the allegation of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negligence.</w:t>
      </w:r>
    </w:p>
    <w:p>
      <w:pPr>
        <w:spacing w:before="2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damages awarded appear to be reasonable and in no way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excessive. The trial judge has assessed the damages partly based</w:t>
      </w:r>
    </w:p>
    <w:p>
      <w:pPr>
        <w:spacing w:before="4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on the loss of opportunity of the plaintiff’s wife to engage in an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employment as she has to care for the plaintiff. having placed the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earning capacity of the plaintiff’s wife at Rs. 3000/- a month, the</w:t>
      </w:r>
    </w:p>
    <w:p>
      <w:pPr>
        <w:spacing w:before="4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trial Judge has fxed damages resulting from loss of employment</w:t>
      </w:r>
    </w:p>
    <w:p>
      <w:pPr>
        <w:spacing w:before="44" w:line="211" w:lineRule="exact"/>
        <w:ind w:left="1530"/>
      </w:pP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opportunity to the wife at Rs. 1,116,000/- and arrived at the general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damages as Rs. 3,840,000/- + Rs. 1,116,000/- = Rs. 4,956,000/-.</w:t>
      </w:r>
    </w:p>
    <w:p>
      <w:pPr>
        <w:spacing w:before="4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Since the wife was not employed the trial Judge could not have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awarded Rs. 1,116,000/- as being part of general damages result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ing from the wife of the plaintiff having to care for the husband.</w:t>
      </w:r>
    </w:p>
    <w:p>
      <w:pPr>
        <w:spacing w:before="2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Taking into consideration the plight of the plaintiff the trial Judge</w:t>
      </w:r>
    </w:p>
    <w:p>
      <w:pPr>
        <w:spacing w:before="4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could have awarded suffcient compensation for loss of comfort,</w:t>
      </w:r>
    </w:p>
    <w:p>
      <w:pPr>
        <w:spacing w:before="4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pain of mind and the amount the plaintiff may have to incur to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employ someone to care for him in the future. This amount could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 reasonably fxed at Rs. 1,000,000/- not on the basis of the wife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being deprived of employment opportunities but on the basis that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plaintiff is entitled to such damages to look after himself.</w:t>
      </w:r>
    </w:p>
    <w:p>
      <w:pPr>
        <w:spacing w:before="2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General damages that should have been awarded is Rs. 3,840,000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+ Rs. 1,000,000/- = Rs. 4,840,000/-.</w:t>
      </w:r>
    </w:p>
    <w:p>
      <w:pPr>
        <w:spacing w:before="21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:-</w:t>
      </w:r>
    </w:p>
    <w:p>
      <w:pPr>
        <w:spacing w:before="10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A.W. A. Hemachandra vs. Mohomed Ismail Ayoob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pacing w:val="11"/>
          <w:sz w:val="18"/>
          <w:szCs w:val="18"/>
          <w:rFonts w:ascii="Bookman Old Style" w:hAnsi="Bookman Old Style" w:cs="Bookman Old Style"/>
          <w:color w:val="231f20"/>
        </w:rPr>
        <w:t xml:space="preserve">-  1986 CAlR</w:t>
      </w:r>
    </w:p>
    <w:p>
      <w:pPr>
        <w:spacing w:before="4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550</w:t>
      </w:r>
    </w:p>
    <w:p>
      <w:pPr>
        <w:spacing w:before="10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Sinniah Nadaraja vs. Ceylon Transport Board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79 NlR (iii) 48</w:t>
      </w:r>
    </w:p>
    <w:p>
      <w:pPr>
        <w:spacing w:before="10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Hollington vs. New thorn &amp; Co. Ltd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1943 2 All eR 35</w:t>
      </w:r>
    </w:p>
    <w:p>
      <w:pPr>
        <w:spacing w:before="2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Prasanna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Jayawardane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Millinda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Gunatilaka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substituted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appellant.</w:t>
      </w:r>
    </w:p>
    <w:p>
      <w:pPr>
        <w:spacing w:before="12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Mayura Gunawansa,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Viraj Premasinghe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 Sathyendran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4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plaintiff-respondent.</w:t>
      </w:r>
    </w:p>
    <w:p>
      <w:pPr>
        <w:spacing w:before="198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4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21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2008</w:t>
      </w:r>
    </w:p>
    <w:p>
      <w:pPr>
        <w:spacing w:before="180" w:line="246" w:lineRule="exact"/>
        <w:ind w:left="1077"/>
      </w:pPr>
      <w:r>
        <w:rPr>
          <w:b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abdUS SaLaM. J.</w:t>
      </w:r>
    </w:p>
    <w:p>
      <w:pPr>
        <w:spacing w:before="20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 is  an  appeal  from  the  judgment  of  the  District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of Colombo dated 1.6.2004, awarding damages to the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plaintiff-respondent (hereinafter referred to as the plaintiff)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a sum of Rs. 4,956,000/- and Rs. 117,040.50 as special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damages.</w:t>
      </w:r>
    </w:p>
    <w:p>
      <w:pPr>
        <w:spacing w:before="2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instituted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against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defendant-</w:t>
      </w:r>
    </w:p>
    <w:p>
      <w:pPr>
        <w:spacing w:before="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appellant (hereinafter referred to as the defendant) follow-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a vehicular accident alleged to have taken place due to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negligence of the defendant while driving a motor car.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plaintiff who was a passenger in the said car sustained</w:t>
      </w:r>
    </w:p>
    <w:p>
      <w:pPr>
        <w:spacing w:before="3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severe injuries and lost his eyesight. By his amended plaint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claimed damages in a sum of Rs. 5,000,000/=, as general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damages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1,17040/50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special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damages.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by his amended answer denied liability.</w:t>
      </w:r>
    </w:p>
    <w:p>
      <w:pPr>
        <w:spacing w:before="23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is common ground that the plaintiff on 30.10.1997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travelled in the vehicle bearing No. 12 SRI 3561 driven by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along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Makola-Kiribathgoda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road</w:t>
      </w:r>
      <w:r>
        <w:rPr>
          <w:sz w:val="21"/>
          <w:szCs w:val="21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towards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Sapugaskanda.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dispute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alleged liability of the defendant proceeded to trial on 15</w:t>
      </w:r>
    </w:p>
    <w:p>
      <w:pPr>
        <w:spacing w:before="3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issues of which the frst 10 were suggested by the plaintiff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rest by the defendant.</w:t>
      </w:r>
    </w:p>
    <w:p>
      <w:pPr>
        <w:spacing w:before="2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trial,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gave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led</w:t>
      </w:r>
    </w:p>
    <w:p>
      <w:pPr>
        <w:spacing w:before="33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evidence of Dr. S. J. pathirana (eye surgeon), W. M.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Bathiyathissa, pC 8909 attached to peliyagoda police station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M/s Shyamalee Gunathilake, deputy personal manager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petroleum Corporation and closed his case reading in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documents marked as p1 to p23 (a).</w:t>
      </w:r>
    </w:p>
    <w:p>
      <w:pPr>
        <w:spacing w:before="24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unfolding the defence, the defendant gave evidence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produced documents marked D1 to D2 (c). Thereafter,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29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Rosairo Vs. Basnayake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3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Salam.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20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37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trial judge in his judgment awarded the full sum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prayed for as special damages and a sum of 4,956,000/= 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 damages.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argument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defendant relied mainly on two grounds to avoid liability.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frst place the defendant took up the position that there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was no proof of negligence on the part of the driver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 in question and that in any event the computation of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damages was wrong.</w:t>
      </w:r>
    </w:p>
    <w:p>
      <w:pPr>
        <w:spacing w:before="243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As regards the frst ground urged by the defendant, it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must be stated that the evidence of the plaintiff, the police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constable (together with the document marked p5) and that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the evidence given by the defendant cannot warrant a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fnding than, what the learned additional district judge has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fact arrived at, in regard to the negligence of the driver.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it has been stressed in several authorities the unqualifed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admission of guilt tendered by the defendant in the Magis-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trate’s Court on both counts namely, for failing to avoid the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accident and negligent driving cannot lightly be taken.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adduced by the plaintiff, before the learned district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judge was such which is capable of giving rise to a reason-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able inference of negligence on the part of the driver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vehicle.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able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negative the allegation of negligence. Whilst giving evidence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 admitted that it was raining when the accident occurred</w:t>
      </w:r>
    </w:p>
    <w:p>
      <w:pPr>
        <w:spacing w:before="45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and there were no street lights either. By taking up this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attempted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undue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advantage of the lack of street lights and the adverse weather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condition to have him absolved from liability. As has been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quite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correctly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suggested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the said adverse driving conditions in fact had placed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driver of the vehicle in which the plaintiff travelled,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duty to exercise greater care in relation to the safety of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plaintiff. Taking into consideration the manner in which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collision has taken place with the vehicle that is said to have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suddenly reversed on to the road on a crest of a hill, it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quite clear that the defendant has failed in his duty of care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he owed to the plaintiff.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defendant  admitted  in  his  evidence  that  he  was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able to observe the container lorry being reversed across the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road only at a point when his vehicle was fve meters away.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This evidence of the defendant suggests the lack of proper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attention for the traffc ahead of him. taking into consider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ation the length and breadth of the container lorry which is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said to have been reversed suddenly across the road, it is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very unlikely and unsustainable to accept the version of the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defendant that he saw the container lorry only ahead of fve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meters or within a couple of seconds. Therefore, I am totally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agreement with the submissions of the learned counsel for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plaintiff. hence the decision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A. W. A. Hemachandra vs.</w:t>
      </w:r>
    </w:p>
    <w:p>
      <w:pPr>
        <w:spacing w:before="0" w:line="19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Mohamed Ismail Ayoob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has no application to the present</w:t>
      </w:r>
    </w:p>
    <w:p>
      <w:pPr>
        <w:spacing w:before="1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Admittedly,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charged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Magistrate’s Court of Colombo in proceedings No. 21266/97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 negligent driving and failure to avoid the accident that</w:t>
      </w:r>
    </w:p>
    <w:p>
      <w:pPr>
        <w:spacing w:before="3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gave rise to the present suit. Upon his pleading guilty to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 charges, a state cost of Rs. 750/- has been imposed on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him. The trial judge in her order has quite correctly taken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into consideration the evidential value of p5. According to</w:t>
      </w:r>
    </w:p>
    <w:p>
      <w:pPr>
        <w:spacing w:before="3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p5 the defendant had pleaded guilty to the charges of negli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gently driving the motorcar and failing to avoid the accident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complained of.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inniah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Nadarajah,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Ceylon</w:t>
      </w:r>
    </w:p>
    <w:p>
      <w:pPr>
        <w:spacing w:before="0" w:line="19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Transport Board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Wimalaratne, J. with the concurrence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29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Rosairo Vs. Basnayake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3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Salam.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20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</w:t>
      </w:r>
    </w:p>
    <w:p>
      <w:pPr>
        <w:spacing w:before="38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Rajaratnam,  J.  and  Walpita, J., following the  decision in</w:t>
      </w:r>
    </w:p>
    <w:p>
      <w:pPr>
        <w:spacing w:before="0" w:line="205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Hollington v. Hewthorn &amp; Co. Ltd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held that a plea of guilt in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Magistrate’s Court was, most relevant and ought to have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been taken into consideration in assessing the plaintiff’s case.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same case Walpita J, observed that the plea of guilt on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charge of failing to avoid an accident by the driver cannot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be lightly ignored in considering as to whose negligence it was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caused the accident.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terms of section 41(A)(2) of the Evidence Ordinance,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where in any civil proceedings, the question whether any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 to any civil proceedings or not, has been convicted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 offence by any court in Sri Lanka, or has committed the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acts constituting an offence, is a fact in issue, a judgment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order of such court recording a conviction of such person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such offence, being a judgment or order against which no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appeal has been preferred within the appealable period, or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which has been fnally affrmed in appeal, shall be relevant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purposes of proving that such person committed such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 or committed the acts constituting such offence.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signifcant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reproduce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illustration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</w:p>
    <w:p>
      <w:pPr>
        <w:spacing w:before="4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under section 41(A) of the Evidence Ordinance in so far as it is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relevant to this case. The illustration reads that when B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injures C while driving A’s car in the course of B’s employ-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with A, B is convicted for careless driving. In an action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damages instituted by C against A and B, B’s conviction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relevant.</w:t>
      </w:r>
    </w:p>
    <w:p>
      <w:pPr>
        <w:spacing w:before="24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the light of the overwhelming evidence adduced by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plaintiff and the evidence of the defendant in so far as it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relates to the duty of care owed by him towards the plaintiff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adverse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driving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condition,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disposed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interfere with the fnding of the learned distri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ct judge as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 the  negligence  of  the  defendant  in  driving  the  vehicle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question that had caused damages to the plaintiff.</w:t>
      </w:r>
    </w:p>
    <w:p>
      <w:pPr>
        <w:spacing w:before="24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relation to the other ground urged by the defendant,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 would like to make the following observations. As at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time, the accident had taken place the plaintiff was 44 years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age and drawing a salary of Rs. 23,000/- per month. 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2 children aged 9 years and 7 years. Further as a direct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consequence of the infrmities suffered by him, his services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under the petroleum Corporation has been terminated with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effect from 18/05/1998.</w:t>
      </w:r>
    </w:p>
    <w:p>
      <w:pPr>
        <w:spacing w:before="24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position of the plaintiff was that he had expended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Rs. 117,040/50 to obtain medical treatment in attempting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restore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eye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sight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success.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produced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marked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p1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p23A are quite signifcant to proving the negligence of 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defendant and the patrimonial loss suffered by the plaintiff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a result. It included the plaintiff’s Salary slip pertaining to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month of September 1997 (pI), Medical certifcate dated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19/05/1998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Colombo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eye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Hospital (p6), Medical bills relating to the treatment received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Sri lanka by the plaintiff (p8, p9 and p10), Receipt issued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by Mackinnon’s Travels relating to the cost of the Airline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tickets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travel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India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treatment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(p11, p12), Receipts relating to the treatment received in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India (p13 to p16), Receipts relating to the Hotel expenses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whilst taking treatment in India (p20 to p21).</w:t>
      </w:r>
    </w:p>
    <w:p>
      <w:pPr>
        <w:spacing w:before="24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learned Counsel of the defendant has also taken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 the position that the computation of the damages by 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learned district judge was wrong. According to the evidence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led at the trial the retiring age of the plaintiff is 60 years.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the defendant did not dispute this position, the learned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297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Rosairo Vs. Basnayake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3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(Abdus Salam.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20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additional district judge cannot be faulted for arriving at the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conclusion that the plaintiff could have worked until his 60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year, had he not been faced with the diffculties that arose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vehicular accident.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a result of the accident the plaintiff became blind for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life at the age of 44 years. The learned counsel of the plaintiff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submitted that no amount of money can ever compensate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pain of mind and the suffering, the plaintiff has been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subjected to, throughout his life as a result of this accident.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damages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awarded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plaintiff appear to be reasonable and in no way excessive.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defendant has submitted that the amount of compen-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sation received by the plaintiff from the petroleum Corpora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tion should have been taken into consideration in awarding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damages. In any event, it has to be observed that since the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liability of the defendant to pay damages arises under the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law of torts, it is not open to the defendant to seek refuge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behind any payment made to the plaintiff under the contract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employment he has had with the petroleum Corporation.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additional district judge has considered the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impaired vision and the related disabilities of the plaintiff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resulting from the negligence of the defendant which required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constant care and attention. The trial judge has assessed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damages partly based on the loss of opportunity of the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plaintiff’s wife to engage in an employment, as she has to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care for the plaintiff. having placed the earning capacity of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plaintiffs wife at Rs. 3000/- a month, on an assumptive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basis the additional district judge has fxed the damages 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sulting from loss of employment opportunity to the wife of 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plaintiff at Rs. 1,116,000/- and arrived at the general dam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ages as Rs. 3,840,000 + Rs. 1,116,000/- = Rs. 4,956,000/-.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Since the wife of the plaintiff was not employed the learned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additional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awarded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Rs.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1,116,000/- as being part of general damage resulting from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wife of the plaintiff having to care for husband. In any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event the wife of the plaintiff has not claimed any damages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for loss of any employment opportunities. hence taking into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consideration the miserable plight of the plaintiff who has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lost his eye sight at the age of 44 years, the learned additional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suffcient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compensation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 loss  of  comfort,  pain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mind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amount the plaintiff may have to incur to employ some one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care for him in future. The learned district judge could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have reasonably fxed this amount at Rs. 1,000,000/- not</w:t>
      </w:r>
    </w:p>
    <w:p>
      <w:pPr>
        <w:spacing w:before="4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on the basis of the wife of the plaintiff being deprived of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employment opportunities as a result of the plight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but on the basis that the plaintiff is entitled to such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damages to look after himself. hence the general damages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have been awarded is Rs. 3,840,000 + Rs. 1,000,000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= Rs. 4,840,000.</w:t>
      </w:r>
    </w:p>
    <w:p>
      <w:pPr>
        <w:spacing w:before="24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Hence the plaintiff would be entitled to Rs. 4,840,000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general damages and Rs. 117,840.50 as special damages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aggregating to 4,957,840.50. Subject to the above variation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appeal of the defendant stands dismissed with costs fxed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Rs. 51,500/-.</w:t>
      </w:r>
    </w:p>
    <w:p>
      <w:pPr>
        <w:spacing w:before="23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pacing w:before="16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subject to variation.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92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Dr. Perera v. Justice Perera and 11 others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78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43</w:t>
      </w:r>
    </w:p>
    <w:p>
      <w:pPr>
        <w:spacing w:before="813" w:line="210" w:lineRule="exact"/>
        <w:ind w:left="1637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DR. PERERA V. JUSTICE PERERA AND 11 OTHERS</w:t>
      </w:r>
    </w:p>
    <w:p>
      <w:pPr>
        <w:spacing w:before="589" w:line="211" w:lineRule="exact"/>
        <w:ind w:left="1077"/>
      </w:pPr>
      <w:r>
        <w:rPr>
          <w:spacing w:val="13"/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DR. SHIRANI A. BANDARANAyAke, J.,</w:t>
      </w:r>
    </w:p>
    <w:p>
      <w:pPr>
        <w:spacing w:before="28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RAtNAyAke p.C., J. AND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IMAM. J.</w:t>
      </w:r>
    </w:p>
    <w:p>
      <w:pPr>
        <w:spacing w:before="28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S.C. (f.R.) ApplICAtIoN No. 598/2008</w:t>
      </w:r>
    </w:p>
    <w:p>
      <w:pPr>
        <w:spacing w:before="0" w:line="162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51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Fundamental Right - Constitution - Article 12(1) - Right to equality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 All persons are equal before the law?</w:t>
      </w:r>
    </w:p>
    <w:p>
      <w:pPr>
        <w:spacing w:before="198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petitioner, a Senior Consultant of the Department of Secondary</w:t>
      </w:r>
    </w:p>
    <w:p>
      <w:pPr>
        <w:spacing w:before="2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and Tertiary Education of the Faculty of Education, Open University</w:t>
      </w:r>
    </w:p>
    <w:p>
      <w:pPr>
        <w:spacing w:before="0" w:line="162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of Sri Lanka, alleged that the purported directions of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9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06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Respondents not to re-instate the petitioner in the public service and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 to release the petitioner to the open university until and unless the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pays to the State the cost of his foreign studies funded by the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Government, are arbitrary, irrational and unreasonable and in violation</w:t>
      </w:r>
    </w:p>
    <w:p>
      <w:pPr>
        <w:spacing w:before="28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the petitioner’s fundamental rights guaranteed in terms of Article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12(1) of the Constitution.</w:t>
      </w:r>
    </w:p>
    <w:p>
      <w:pPr>
        <w:spacing w:before="19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Equality before the law does not mean that all should be treated</w:t>
      </w:r>
    </w:p>
    <w:p>
      <w:pPr>
        <w:spacing w:before="28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alike or that the same law should be applicable to all persons.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What is meant is that equals should be treated equally and similar</w:t>
      </w:r>
    </w:p>
    <w:p>
      <w:pPr>
        <w:spacing w:before="2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laws should be applicable to persons, who are similarly circum-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stanced.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Article 12(1) of the Constitution postulates that all persons, who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are similarly circumstanced should be treated alike. Accordingly,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doctrine of equality before the laws would not be applicable to</w:t>
      </w:r>
    </w:p>
    <w:p>
      <w:pPr>
        <w:spacing w:before="2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persons, who are not similarly circumstanced. Unequals cannot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 treated equally, not equals be treated unequally.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Every wrong decision cannot and would not attract the consti-</w:t>
      </w:r>
    </w:p>
    <w:p>
      <w:pPr>
        <w:spacing w:before="2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tutional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remedies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guaranteed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fundamental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rights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incorporated in the Constitution. In reference to Article 12(1) of the</w:t>
      </w:r>
    </w:p>
    <w:p>
      <w:pPr>
        <w:spacing w:before="2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Constitution it would be necessary to show that there had been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unequal treatment and therefore discriminatory action against the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decision taken by the public Service Commission with regard</w:t>
      </w:r>
    </w:p>
    <w:p>
      <w:pPr>
        <w:spacing w:before="22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to the petitioner in no way could be categorized as arbitrary,</w:t>
      </w:r>
    </w:p>
    <w:p>
      <w:pPr>
        <w:spacing w:before="2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unlawful and irrational and is not in violation of the petitioner’s</w:t>
      </w:r>
    </w:p>
    <w:p>
      <w:pPr>
        <w:spacing w:before="22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fundamental rights guaranteed in terms of Article 12(1) of the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Constitution.</w:t>
      </w:r>
    </w:p>
    <w:p>
      <w:pPr>
        <w:spacing w:before="19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 :-</w:t>
      </w:r>
    </w:p>
    <w:p>
      <w:pPr>
        <w:spacing w:before="7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Snowden v. Hughes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(1943) 321 U. S. 1, 64 S. Ct. 297, 88L.</w:t>
      </w:r>
    </w:p>
    <w:p>
      <w:pPr>
        <w:spacing w:before="2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Ed. 497 (1944)</w:t>
      </w:r>
    </w:p>
    <w:p>
      <w:pPr>
        <w:spacing w:before="7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Ram Krishna Dalmia v. Justice Tendolkar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A. I. R. 1958 S.C. 538</w:t>
      </w:r>
    </w:p>
    <w:p>
      <w:pPr>
        <w:spacing w:before="19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Article 12(1) of the Constitution.</w:t>
      </w:r>
    </w:p>
    <w:p>
      <w:pPr>
        <w:spacing w:before="19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J. C. Weliamuna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Maduranga Ratnayake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petitioner.</w:t>
      </w:r>
    </w:p>
    <w:p>
      <w:pPr>
        <w:spacing w:before="58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Indika Demuni de Silva, D S. G.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10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- 12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Respondents.</w:t>
      </w:r>
    </w:p>
    <w:p>
      <w:pPr>
        <w:spacing w:before="270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389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90" w:line="246" w:lineRule="exact"/>
        <w:ind w:left="1077"/>
      </w:pPr>
      <w:r>
        <w:rPr>
          <w:b w:val="true"/>
          <w:spacing w:val="17"/>
          <w:sz w:val="21"/>
          <w:szCs w:val="21"/>
          <w:rFonts w:ascii="Bookman Old Style" w:hAnsi="Bookman Old Style" w:cs="Bookman Old Style"/>
          <w:color w:val="231f20"/>
        </w:rPr>
        <w:t xml:space="preserve">dr. ShIraNI a. baNdaraNayakE, J.</w:t>
      </w:r>
    </w:p>
    <w:p>
      <w:pPr>
        <w:spacing w:before="21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petitioner, a Senior Consultant of the Department of</w:t>
      </w:r>
    </w:p>
    <w:p>
      <w:pPr>
        <w:spacing w:before="4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Secondary and Tertiary Education of the Faculty of Education,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Open University of Sri Lanka (hereinafter referred to as the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open university) at the time of fling this application, alleged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purported directions 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not</w:t>
      </w:r>
    </w:p>
    <w:p>
      <w:pPr>
        <w:spacing w:before="13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re-instate the petitioner in the public service and not to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 the petitioner to the Open University until and unless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pays to the State the cost of his foreign studies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Government,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arbitrary,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irrational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unreasonable and in violation of the petitioner’s fundamental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rights guaranteed in terms of Article 12(1) of the Constitu-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tion, for which leave to proceed was granted by this Court.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92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Dr. Perera v. Justice Perera and 11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6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45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albeit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brief, are as follows:</w:t>
      </w:r>
    </w:p>
    <w:p>
      <w:pPr>
        <w:spacing w:before="24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petitioner had obtained his Degree of Bachelor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Arts (Hons.) from the university of peradeniya in 1985 (p2a).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thereafter he had obtained his post Graduate Diploma in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education from the university of Colombo in 1993 (p2b). He</w:t>
      </w:r>
    </w:p>
    <w:p>
      <w:pPr>
        <w:spacing w:before="43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had obtained two Degrees in Master of Education; one in 1996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from the university of Colombo (p2c) and the other in 1999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from the university of Wollongong, Australia (p2d). later in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2004, he had obtained the Degree of Doctor of Education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from the same university in Australia (p2e). the petitioner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also obtained a professional qualifcation in the form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Diploma in Counselling from the Institute of psychological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Studies in 2006 (p2f).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had joined the public service in July 1989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as an Assistant Teacher and thereafter had served in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Vavuniya National College of Education in different capacities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ranging from Assistant Lecturer, Senior Lecturer to the Dean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College since 1995.</w:t>
      </w:r>
    </w:p>
    <w:p>
      <w:pPr>
        <w:spacing w:before="241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Whilst he was serving as the Dean of the said College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received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scholarship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offered by the Government to read for a Degree in Master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 at the university of Wollongon, Australia in 1998.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had  successfully completed the said Degree in 1999.</w:t>
      </w:r>
    </w:p>
    <w:p>
      <w:pPr>
        <w:spacing w:before="241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Thereafter, the petitioner had been serving as a Senior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Lecturer at the Siyane National College of Education and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2001, he was selected by the university of Wollongong,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Australia to read for the Degree in Doctor of Education.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 programme  was  funded  by  the  World  Bank  General</w:t>
      </w:r>
    </w:p>
    <w:p>
      <w:pPr>
        <w:spacing w:before="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education project - 2 in Sri lanka. prior to leaving the country,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as a pre-condition, the petitioner was required to sign an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Agreement with the Government of Sri Lanka, which stated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 after  completion  of  his  studies  he  should  return  to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Sri Lanka and shall serve the Government, if so required,</w:t>
      </w:r>
    </w:p>
    <w:p>
      <w:pPr>
        <w:spacing w:before="49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for a term of eight years and seven months (p5). He had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left the country on study leave in November 2001 and after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successfully completing his Degree in Doctor of Education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returned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country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January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2004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resumed his duties at the Siyane National College of Educa-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tion.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Immediately thereafter, in February 2004, through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 (Head) of the Siyane National College of education,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 had applied for the post of Senior Lecturer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Department of education in the university of peradeniya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(p6). By letter dated 26.08.2004 (p7), the said university</w:t>
      </w:r>
    </w:p>
    <w:p>
      <w:pPr>
        <w:spacing w:before="49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had informed the petitioner that he was selected to the said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 on contract basis for a period of one year. On receipt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 the said letter, the petitioner had sought permission to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released from Siyane National College of Education.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 (Head) of the Siyane National College of education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verbally instructed the petitioner to assume duties at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 of peradeniya pending permission for the petitioner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be released from Siyane National College of Education.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assumed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duties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peradeniya on 01.10.2004.</w:t>
      </w:r>
    </w:p>
    <w:p>
      <w:pPr>
        <w:spacing w:before="24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By letter dated 25.08.2004 (p8), the Secretary to 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Ministry of Education had informed the petitioner declining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release the petitioner to the university of peradeniya. He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had referred to Clause 4:4 in chapter XV of the Establish-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ments Code.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May 2005, the Open University had called for appli-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cations for the post of Senior lecturer in education. Whilst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92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Dr. Perera v. Justice Perera and 11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6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47</w:t>
      </w:r>
    </w:p>
    <w:p>
      <w:pPr>
        <w:spacing w:before="38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Serving at the university of pe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radeniya, the petitioner had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applied for the said post through the head of the Siyane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National College of education (p9). After an interview, by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letter dated 29.08.2005 (p10), the petitioner was appointed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the  post  of Senior  Lecturer in Education  at the  Open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(p10).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thereafter,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request through the head of the Siyane National College of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education to the public Service Commission, for him to be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released to the open university (p11).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Since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steps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taken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petitioner,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 October 2005, he had made a complaint to the human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Rights Commission (p14). the Human Rights Commission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made recommendations in favour of the petitioner and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the strength of such recommendations and the letter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Director-General of Establishments sent in October 2005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(p13b), the petitioner had assumed duties on 21.11.2005 at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Open University. By letter dated 14.12.2005, the Vice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Chancellor of the Open University had made a request to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then Secretary of the Ministry of Education to formally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 the petitioner to the open university (p16).</w:t>
      </w:r>
    </w:p>
    <w:p>
      <w:pPr>
        <w:spacing w:before="24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By letter dated 30.05.2006, the Ministry of Education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 informed  the  petitioner  that  he  was  released  to 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 of peradeniya (p17).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Meanwhile, whilst the petitioner was serving at the Open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University, in July 2006, he had received a letter of vacation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post dated 27.06.2006 from the Siyane National College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 (p18). the petitioner had tendered an explanation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the Secretary of the Ministry of Education with a copy to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Siyane National College of Education. Later a copy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explanation was sent to the public Service Commission (p19).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July  2006,  the  Director  (Colleges  of  Education)  of 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48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Ministry of Education had informed the petitioner that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 Service Commission had rejected the request made by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to release him from Government service (p20).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Administrative Appeals Tribunal against the said decision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public Service Commission (p21). By its order dat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07.02.2008,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Administrative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Tribunal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dismissed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sought to serve outside the public service and that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 the Secretary’s recommendation the petitioner could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be released from the government service (p22).</w:t>
      </w:r>
    </w:p>
    <w:p>
      <w:pPr>
        <w:spacing w:before="23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the meantime, the Open University had terminated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petitioner’s service with effect from 29.02.2008 on the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over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years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formally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released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(p23).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open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University had however, appointed the petitioner as a Senior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Consultant attached to the Department of Secondary and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Tertiary Education, on contract basis.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14.11.2008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(p25),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informed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 Commission had decided to consider reinstating the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petitioner, provided that he agreed to pay the State before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31.12.2008, such sum of money in terms of the obligatory</w:t>
      </w:r>
    </w:p>
    <w:p>
      <w:pPr>
        <w:spacing w:before="3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service to the Government under the said Agreement (p5).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Later the petitioner had received the copy of a letter dated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26.11.2008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(p26),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addressed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(Head)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Siyane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College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Additional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Secretary of the Education Service, Ministry of Education,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stating that if the said sum of money, in terms of the obliga-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tory service to the Government under the Agreement (A5) is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paid to the State on or before 31.12.2008, the previous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 of vacation of post would stand.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92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Dr. Perera v. Justice Perera and 11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6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49</w:t>
      </w:r>
    </w:p>
    <w:p>
      <w:pPr>
        <w:spacing w:before="38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alleged that both letters dated 14.11.2008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(p25)  and  26.11.2008  (p26)  have  failed  to  appreciate 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correct legal position under Clause 4.14 in chapter XV of the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Establishments Code read with section 77(5) of the Univer-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sities Act, No. 16 of 1978 (as amended). It was also stated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that the petitioner was reliably informed that the hon.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Attorney-General in November 2005 had advised the National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Institute of Education on the identical issue in respect of one</w:t>
      </w:r>
    </w:p>
    <w:p>
      <w:pPr>
        <w:spacing w:before="3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R.M.S.k. Ranasinghe stating that under section 77(5) of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Universities Act, any service to a higher educational institute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be considered as service to Government. The petitioner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also become aware that the public Service Commission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allowed similarly circumstanced Teacher Educationists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higher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educational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institutes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serving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notices of vacation of post. he had referred to one A.C.A.M.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Mansoor, W.D.C.p. perera and p.R.k.A. Vitharana as such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instances.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alleged that the aforementioned decisions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conduct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unreasonable,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arbitrary, irrational and in violation of Article 12(1) of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although the petitioner was granted a scholarship to study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abroad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whilst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serving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Siyane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College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3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education, the fnances for the said scholarship were not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allocated  from  the  said  College,  but  from  a  World  Bank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project. It was also contended that the Agreement p5 was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  the  petitioner  and  the  Secretary  to  the  Ministry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reference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Siyane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College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 nor to any similar Colleges of Education.</w:t>
      </w:r>
    </w:p>
    <w:p>
      <w:pPr>
        <w:spacing w:before="235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Learned Counsel for the petitioner submitted that the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said Agreement marked p5 does not mention the fact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50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must serve at the Siyane College of Education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any similar College of Education and as such there cannot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 any diffculty in releasing the petitioner from the Siyane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College of Education. Further it was submitted that in terms</w:t>
      </w:r>
    </w:p>
    <w:p>
      <w:pPr>
        <w:spacing w:before="3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section 77(5) of the Universities Act there are no legal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impediments to release the petitioner to another Government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institution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agency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 had in principle conceded this position.</w:t>
      </w:r>
    </w:p>
    <w:p>
      <w:pPr>
        <w:spacing w:before="184" w:line="213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Learned Deputy Solicitor General for the 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7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(hereinafter referred to as the respondents)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 that the petitioner had accepted the appointment</w:t>
      </w:r>
    </w:p>
    <w:p>
      <w:pPr>
        <w:spacing w:before="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at the Open University on 05.09.2005 and had assumed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duties  in  the  said  post  on  21.11.2005  without  obtaining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approval for his release from the public Service Commission.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also contended that the petitioner had disregarded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letter sent by the Secretary to the Ministry of Education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December 2005 (10R4), as he had failed and/or neglected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report for duty when he was called upon to do so. In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 learned Deputy Solicitor General strenuously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 that there had been no violation of the petitioner’s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fundamental rights.</w:t>
      </w:r>
    </w:p>
    <w:p>
      <w:pPr>
        <w:spacing w:before="24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having referred to the facts of this application and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contentions of the learned Counsel for the petitioner and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Deputy Solicitor General for the respondents, let me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now turn to consider the alleged infringement complained by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contention of the learned Counsel for the petitioner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that, although the petitioner had obtained study leave at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time he was an employee of the Siyane National College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Education,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into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Agreement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 of Sri Lanka that he would serve the obligatory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92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Dr. Perera v. Justice Perera and 11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6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51</w:t>
      </w:r>
    </w:p>
    <w:p>
      <w:pPr>
        <w:spacing w:before="383" w:line="246" w:lineRule="exact"/>
        <w:ind w:left="1077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period on his return or in lieu of that he would pay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required sum of money, that such period of obligatory service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rendered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either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Siyane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National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College of Education or at any other Government institution.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Counsel for the petitioner had relied on section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77(5) of the Universities Act and Clause 4:14 chapter XV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Establishments Code in support of his contention.</w:t>
      </w:r>
    </w:p>
    <w:p>
      <w:pPr>
        <w:spacing w:before="22" w:line="27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77(5) of the Universities Act is as follows: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“Where</w:t>
      </w:r>
      <w:r>
        <w:rPr>
          <w:i w:val="true"/>
          <w:sz w:val="21"/>
          <w:szCs w:val="21"/>
          <w:rFonts w:ascii="Cambria" w:hAnsi="Cambria" w:cs="Cambria"/>
          <w:color w:val="231f20"/>
          <w:spacing w:val="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Higher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Educational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Institution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employs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</w:p>
    <w:p>
      <w:pPr>
        <w:spacing w:before="51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person  who  has  entered  into a  contract with the  Gov-</w:t>
      </w:r>
    </w:p>
    <w:p>
      <w:pPr>
        <w:spacing w:before="51" w:line="246" w:lineRule="exact"/>
        <w:ind w:left="1474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ernment by which he has agreed to serve the Govern-</w:t>
      </w:r>
    </w:p>
    <w:p>
      <w:pPr>
        <w:spacing w:before="51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ment for a specifed period, any period of service to that</w:t>
      </w:r>
    </w:p>
    <w:p>
      <w:pPr>
        <w:spacing w:before="51" w:line="246" w:lineRule="exact"/>
        <w:ind w:left="1474"/>
      </w:pPr>
      <w:r>
        <w:rPr>
          <w:i w:val="true"/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Higher Educational Institution by that person shall be re-</w:t>
      </w:r>
    </w:p>
    <w:p>
      <w:pPr>
        <w:spacing w:before="51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garded as service to the Government for the purpose of</w:t>
      </w:r>
    </w:p>
    <w:p>
      <w:pPr>
        <w:spacing w:before="5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discharging the obligations of such contract.”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According to section 77(5) of the Universities Act, the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service of a person to a higher Educational Institution, who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has entered into a contract with the Government, shall be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regarded as service to the Government. however, as it could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 clearly seen, for the applicability of section 77(5) of the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Universities Act, it would be necessary for the person in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to be</w:t>
      </w:r>
      <w:r>
        <w:rPr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employed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said Institution. For such an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employment, it is necessary for the said person to be released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such service. Clause 4:14 of chapter XV of the Establish-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ments Code refers to such a release. The said Clause is as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follows: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“Where</w:t>
      </w:r>
      <w:r>
        <w:rPr>
          <w:i w:val="true"/>
          <w:sz w:val="21"/>
          <w:szCs w:val="21"/>
          <w:rFonts w:ascii="Cambria" w:hAnsi="Cambria" w:cs="Cambria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released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</w:p>
    <w:p>
      <w:pPr>
        <w:spacing w:before="51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corporation, such service will be counted as part of his</w:t>
      </w:r>
    </w:p>
    <w:p>
      <w:pPr>
        <w:spacing w:before="5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obligatory service for discharging his obligations under an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Agreement.”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52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gly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place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work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essential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requirement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purpose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employment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higher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Educational  Institution.  The  applicability  of  section  77(5)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universities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depends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fulflment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requirement specifed in Clause 4:14 of chapter XV of the</w:t>
      </w:r>
    </w:p>
    <w:p>
      <w:pPr>
        <w:spacing w:before="4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Establishments Code. It is therefore apparent that it would be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necessary to consider whether the petitioner could have been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released from the public service.</w:t>
      </w:r>
    </w:p>
    <w:p>
      <w:pPr>
        <w:spacing w:before="2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Establishments Code refers to the procedure, which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governs the release of a public offcer and chapter V of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Establishments Code deals with such release, reversion and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termination of employment. Reference has been made in this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chapter regarding the release of offcers for appointment to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another post in the public service as well as releasing offcers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service outside the public service. Since the petitioner had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frst accepted the appointment at the open university whilst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 was serving at the Siyane National College of Education,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he would come within the category of offcers referred to in</w:t>
      </w:r>
    </w:p>
    <w:p>
      <w:pPr>
        <w:spacing w:before="4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Clause 2 of chapter V, viz., release for service outside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 service.</w:t>
      </w:r>
    </w:p>
    <w:p>
      <w:pPr>
        <w:spacing w:before="24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 the  said  Clause  2,  the  relevant  provisions,  as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correctly pointed out by the learned Deputy Solicitor-General</w:t>
      </w:r>
    </w:p>
    <w:p>
      <w:pPr>
        <w:spacing w:before="47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for the respondents, are Clauses 2.1 and 2.3. These two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 are as follows:</w:t>
      </w:r>
    </w:p>
    <w:p>
      <w:pPr>
        <w:spacing w:before="2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“2:1.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released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  <w:r>
        <w:rPr>
          <w:sz w:val="21"/>
          <w:szCs w:val="21"/>
          <w:rFonts w:ascii="Bookman Old Style" w:hAnsi="Bookman Old Style" w:cs="Bookman Old Style"/>
          <w:color w:val="231f20"/>
          <w:spacing w:val="8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outside</w:t>
      </w:r>
    </w:p>
    <w:p>
      <w:pPr>
        <w:spacing w:before="47" w:line="246" w:lineRule="exact"/>
        <w:ind w:left="2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(as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instance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</w:p>
    <w:p>
      <w:pPr>
        <w:spacing w:before="47" w:line="246" w:lineRule="exact"/>
        <w:ind w:left="2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Corporation)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sanction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7" w:line="246" w:lineRule="exact"/>
        <w:ind w:left="209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Appointing Authority and any other authority whose</w:t>
      </w:r>
    </w:p>
    <w:p>
      <w:pPr>
        <w:spacing w:before="51" w:line="246" w:lineRule="exact"/>
        <w:ind w:left="2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concurrence is required by the law under which the</w:t>
      </w:r>
    </w:p>
    <w:p>
      <w:pPr>
        <w:spacing w:before="51" w:line="246" w:lineRule="exact"/>
        <w:ind w:left="2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Corporation or Board is constituted.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92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Dr. Perera v. Justice Perera and 11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6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53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2:3.</w:t>
      </w:r>
      <w:r>
        <w:rPr>
          <w:sz w:val="21"/>
          <w:szCs w:val="21"/>
          <w:rFonts w:ascii="Bookman Old Style" w:hAnsi="Bookman Old Style" w:cs="Bookman Old Style"/>
          <w:color w:val="231f20"/>
          <w:spacing w:val="16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app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lication for release (temporary or permanent)</w:t>
      </w:r>
    </w:p>
    <w:p>
      <w:pPr>
        <w:spacing w:before="52" w:line="246" w:lineRule="exact"/>
        <w:ind w:left="209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should be made on a form as in specimen given</w:t>
      </w:r>
    </w:p>
    <w:p>
      <w:pPr>
        <w:spacing w:before="52" w:line="246" w:lineRule="exact"/>
        <w:ind w:left="209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at Appendix 6 by the Appointing Authority of the</w:t>
      </w:r>
    </w:p>
    <w:p>
      <w:pPr>
        <w:spacing w:before="52" w:line="246" w:lineRule="exact"/>
        <w:ind w:left="2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substantive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through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Secretary</w:t>
      </w:r>
    </w:p>
    <w:p>
      <w:pPr>
        <w:spacing w:before="52" w:line="246" w:lineRule="exact"/>
        <w:ind w:left="209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his Ministry and the Secretary to the Ministry</w:t>
      </w:r>
    </w:p>
    <w:p>
      <w:pPr>
        <w:spacing w:before="52" w:line="246" w:lineRule="exact"/>
        <w:ind w:left="209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under which the public Corporation to which it is</w:t>
      </w:r>
    </w:p>
    <w:p>
      <w:pPr>
        <w:spacing w:before="52" w:line="246" w:lineRule="exact"/>
        <w:ind w:left="209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proposed to release the offcer.”</w:t>
      </w:r>
    </w:p>
    <w:p>
      <w:pPr>
        <w:spacing w:before="25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therefore apparent that, in order to obtain a release,</w:t>
      </w:r>
    </w:p>
    <w:p>
      <w:pPr>
        <w:spacing w:before="52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it is necessary to make an application as prescribed in Clause</w:t>
      </w:r>
    </w:p>
    <w:p>
      <w:pPr>
        <w:spacing w:before="52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2:3 of chapter V of the Establishment Code to the Appoint-</w:t>
      </w:r>
    </w:p>
    <w:p>
      <w:pPr>
        <w:spacing w:before="52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ing Authority, for such authority to consider the release. It</w:t>
      </w:r>
    </w:p>
    <w:p>
      <w:pPr>
        <w:spacing w:before="52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was common ground that the public Service Commission</w:t>
      </w:r>
    </w:p>
    <w:p>
      <w:pPr>
        <w:spacing w:before="5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the Appointing Authority of the petitioner and therefore</w:t>
      </w:r>
    </w:p>
    <w:p>
      <w:pPr>
        <w:spacing w:before="52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was necessary for the public Service Commission to have</w:t>
      </w:r>
    </w:p>
    <w:p>
      <w:pPr>
        <w:spacing w:before="5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sanctioned the release of the petitioner.</w:t>
      </w:r>
    </w:p>
    <w:p>
      <w:pPr>
        <w:spacing w:before="250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Learned Deputy Solicitor General for the respondents,</w:t>
      </w:r>
    </w:p>
    <w:p>
      <w:pPr>
        <w:spacing w:before="5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contained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Universities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Act,</w:t>
      </w:r>
    </w:p>
    <w:p>
      <w:pPr>
        <w:spacing w:before="5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16 of 1978 as amended and drew our attention to section</w:t>
      </w:r>
    </w:p>
    <w:p>
      <w:pPr>
        <w:spacing w:before="52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77(1) of the said Act, which states as follows:</w:t>
      </w:r>
    </w:p>
    <w:p>
      <w:pPr>
        <w:spacing w:before="250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20"/>
          <w:sz w:val="21"/>
          <w:szCs w:val="21"/>
          <w:rFonts w:ascii="Cambria" w:hAnsi="Cambria" w:cs="Cambria"/>
          <w:color w:val="231f20"/>
        </w:rPr>
        <w:t xml:space="preserve">“At the request of a Higher Educational Institution, an</w:t>
      </w:r>
    </w:p>
    <w:p>
      <w:pPr>
        <w:spacing w:before="52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offcer in the Public Service may, with the consent of that</w:t>
      </w:r>
    </w:p>
    <w:p>
      <w:pPr>
        <w:spacing w:before="52" w:line="246" w:lineRule="exact"/>
        <w:ind w:left="1474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offcer, the Secretary to the Ministry by or under which</w:t>
      </w:r>
    </w:p>
    <w:p>
      <w:pPr>
        <w:spacing w:before="52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offcer is employed, and the Secretary to the Ministry</w:t>
      </w:r>
    </w:p>
    <w:p>
      <w:pPr>
        <w:spacing w:before="52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charged with the subject of Public Administration, be tem-</w:t>
      </w:r>
    </w:p>
    <w:p>
      <w:pPr>
        <w:spacing w:before="52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porarily appointed to the staff of the Higher Educational</w:t>
      </w:r>
    </w:p>
    <w:p>
      <w:pPr>
        <w:spacing w:before="52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Institution for such period as may be determined by such</w:t>
      </w:r>
    </w:p>
    <w:p>
      <w:pPr>
        <w:spacing w:before="52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Institution with like consent, or be permanently appointed</w:t>
      </w:r>
    </w:p>
    <w:p>
      <w:pPr>
        <w:spacing w:before="52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such staff.”</w:t>
      </w:r>
    </w:p>
    <w:p>
      <w:pPr>
        <w:spacing w:before="25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terms of the provisions of section 77(1) of the Univer-</w:t>
      </w:r>
    </w:p>
    <w:p>
      <w:pPr>
        <w:spacing w:before="52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sities Act, read with Clause 2:3 of chapter V of the Estab-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54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lishments Code, the release of the petitioner from the Siyane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National College of Education could be made only if such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release was sanctioned by the public Service Commission,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was the Appointing Authority, with the concurrence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Secretary to the Ministry of Education, under which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Open University functioned at the time concerned.</w:t>
      </w:r>
    </w:p>
    <w:p>
      <w:pPr>
        <w:spacing w:before="24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is also to be clearly noted that although in terms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Clause  2:1  of  chapter  V  of  the  Establishments  Code  the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petitioner could be released only with the sanction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Commission,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Appointing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Authority in terms of Clause 2:3 of chapter V of the Estab-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lishments Code, the petitioner’s application for permanent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release should be considered by the Secretary to the Ministry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Education and  the Secretary to the Ministry under which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Open University had functioned. Since at the time under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review the Open University had come within the purview of</w:t>
      </w:r>
    </w:p>
    <w:p>
      <w:pPr>
        <w:spacing w:before="4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the Ministry of Education, it was necessary that the Secretary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Ministry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for a permanent release.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public Service Commission, although it had the fnal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authority either to sanction or to refuse the application for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 permanent release, it is quite apparent that it was essen-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tial to have obtained the recommendations and observations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from the Secretary of the Ministry of education as that off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cer was in a better position to analyse whether the petitioner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be granted such a release.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Secretary to the Ministry of Education by letter dated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25.08.2004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informed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request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 be acceded to, as he had not completed the obligatory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 period on his return to the country. The Secretary to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Ministry of Education, by letter dated 03.11.2005 had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592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Dr. Perera v. Justice Perera and 11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6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J)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55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55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several other factors on which the scholarship had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granted to the petitioner and had also drawn attention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the provisions contained in the Minutes of the Sri Lanka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teacher educator’s Service. Referring to the selection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for the 3 year scholarship to further his studies at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university of Wollongong in Australia, the Secretary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Ministry of Education had stated thus:</w:t>
      </w:r>
    </w:p>
    <w:p>
      <w:pPr>
        <w:spacing w:before="279" w:line="217" w:lineRule="exact"/>
        <w:ind w:left="1077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/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261"/>
        </w:rPr>
        <w:t xml:space="preserve"> </w:t>
      </w:r>
      <w:r>
        <w:rPr>
          <w:spacing w:val="13"/>
          <w:sz w:val="21"/>
          <w:szCs w:val="21"/>
          <w:rFonts w:ascii="Leelawadee UI Semilight" w:hAnsi="Leelawadee UI Semilight" w:cs="Leelawadee UI Semilight"/>
          <w:color w:val="231f20"/>
        </w:rPr>
        <w:t xml:space="preserve">—ví,sõ' t,a' ã' tia' mS' fmf¾rd uy;d jõkshd cd;sl wOHdmk</w:t>
      </w:r>
    </w:p>
    <w:p>
      <w:pPr>
        <w:spacing w:before="74" w:line="217" w:lineRule="exact"/>
        <w:ind w:left="1474"/>
      </w:pPr>
      <w:r>
        <w:rPr>
          <w:spacing w:val="-6"/>
          <w:sz w:val="21"/>
          <w:szCs w:val="21"/>
          <w:rFonts w:ascii="Leelawadee UI Semilight" w:hAnsi="Leelawadee UI Semilight" w:cs="Leelawadee UI Semilight"/>
          <w:color w:val="231f20"/>
        </w:rPr>
        <w:t xml:space="preserve">úoHd mSGhg uq,a m;aùu ,enQ YS%' ,x' .=' w' fia' 2 -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31"/>
        </w:rPr>
        <w:t xml:space="preserve"> </w:t>
      </w:r>
      <w:r>
        <w:rPr>
          <w:sz w:val="18"/>
          <w:szCs w:val="18"/>
          <w:rFonts w:ascii="Arial Unicode MS" w:hAnsi="Arial Unicode MS" w:cs="Arial Unicode MS"/>
          <w:color w:val="231f20"/>
        </w:rPr>
        <w:t xml:space="preserve">II</w:t>
      </w:r>
      <w:r>
        <w:rPr>
          <w:sz w:val="18"/>
          <w:szCs w:val="18"/>
          <w:rFonts w:ascii="Arial Unicode MS" w:hAnsi="Arial Unicode MS" w:cs="Arial Unicode MS"/>
          <w:color w:val="231f20"/>
          <w:spacing w:val="40"/>
        </w:rPr>
        <w:t xml:space="preserve"> </w:t>
      </w:r>
      <w:r>
        <w:rPr>
          <w:spacing w:val="-13"/>
          <w:sz w:val="21"/>
          <w:szCs w:val="21"/>
          <w:rFonts w:ascii="Leelawadee UI Semilight" w:hAnsi="Leelawadee UI Semilight" w:cs="Leelawadee UI Semilight"/>
          <w:color w:val="231f20"/>
        </w:rPr>
        <w:t xml:space="preserve">fY%AKsfha iaÓr</w:t>
      </w:r>
    </w:p>
    <w:p>
      <w:pPr>
        <w:spacing w:before="74" w:line="217" w:lineRule="exact"/>
        <w:ind w:left="1474"/>
      </w:pPr>
      <w:r>
        <w:rPr>
          <w:spacing w:val="5"/>
          <w:sz w:val="21"/>
          <w:szCs w:val="21"/>
          <w:rFonts w:ascii="Leelawadee UI Semilight" w:hAnsi="Leelawadee UI Semilight" w:cs="Leelawadee UI Semilight"/>
          <w:color w:val="231f20"/>
        </w:rPr>
        <w:t xml:space="preserve">lÓldpd¾hjrfhls' fudyq wdpd¾h Wmdêh i|yd .=re wOHdmk yd</w:t>
      </w:r>
    </w:p>
    <w:p>
      <w:pPr>
        <w:spacing w:before="74" w:line="217" w:lineRule="exact"/>
        <w:ind w:left="1474"/>
      </w:pPr>
      <w:r>
        <w:rPr>
          <w:spacing w:val="-2"/>
          <w:sz w:val="21"/>
          <w:szCs w:val="21"/>
          <w:rFonts w:ascii="Leelawadee UI Semilight" w:hAnsi="Leelawadee UI Semilight" w:cs="Leelawadee UI Semilight"/>
          <w:color w:val="231f20"/>
        </w:rPr>
        <w:t xml:space="preserve">.=re ia:dmk jHdmD;sfhka cd;sl wOHdmk úoH mSG lÓldpd¾hjrekag</w:t>
      </w:r>
    </w:p>
    <w:p>
      <w:pPr>
        <w:spacing w:before="74" w:line="217" w:lineRule="exact"/>
        <w:ind w:left="1474"/>
      </w:pPr>
      <w:r>
        <w:rPr>
          <w:spacing w:val="2"/>
          <w:sz w:val="21"/>
          <w:szCs w:val="21"/>
          <w:rFonts w:ascii="Leelawadee UI Semilight" w:hAnsi="Leelawadee UI Semilight" w:cs="Leelawadee UI Semilight"/>
          <w:color w:val="231f20"/>
        </w:rPr>
        <w:t xml:space="preserve">fjkafldg we;s úfoaY YsIH;ajhla ,en 2001'01'14 isg 2004'01'01 olajd</w:t>
      </w:r>
    </w:p>
    <w:p>
      <w:pPr>
        <w:spacing w:before="74" w:line="217" w:lineRule="exact"/>
        <w:ind w:left="1474"/>
      </w:pPr>
      <w:r>
        <w:rPr>
          <w:spacing w:val="9"/>
          <w:sz w:val="21"/>
          <w:szCs w:val="21"/>
          <w:rFonts w:ascii="Leelawadee UI Semilight" w:hAnsi="Leelawadee UI Semilight" w:cs="Leelawadee UI Semilight"/>
          <w:color w:val="231f20"/>
        </w:rPr>
        <w:t xml:space="preserve">´iafÜ%,shdfõ fjdf,dka.ka úYaj úoHd,fha bf.kqu ,nd we;'</w:t>
      </w:r>
    </w:p>
    <w:p>
      <w:pPr>
        <w:spacing w:before="273" w:line="217" w:lineRule="exact"/>
        <w:ind w:left="1077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/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261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' ' ' ' '</w:t>
      </w:r>
    </w:p>
    <w:p>
      <w:pPr>
        <w:spacing w:before="273" w:line="217" w:lineRule="exact"/>
        <w:ind w:left="1077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/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261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.=re wOHdmk yd .=re ia:dmk jHdmD;sh u.ska .=re wOHdmk{hka</w:t>
      </w:r>
    </w:p>
    <w:p>
      <w:pPr>
        <w:spacing w:before="74" w:line="217" w:lineRule="exact"/>
        <w:ind w:left="1474"/>
      </w:pPr>
      <w:r>
        <w:rPr>
          <w:spacing w:val="11"/>
          <w:sz w:val="21"/>
          <w:szCs w:val="21"/>
          <w:rFonts w:ascii="Leelawadee UI Semilight" w:hAnsi="Leelawadee UI Semilight" w:cs="Leelawadee UI Semilight"/>
          <w:color w:val="231f20"/>
        </w:rPr>
        <w:t xml:space="preserve">wdh;k jYfhka j¾. fldg Tjqkag foaYSh yd úfoaY YsIH;aj ,nd §</w:t>
      </w:r>
    </w:p>
    <w:p>
      <w:pPr>
        <w:spacing w:before="74" w:line="217" w:lineRule="exact"/>
        <w:ind w:left="1474"/>
      </w:pP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we;' fuys§ cd;sl wOHdmk úoHd mSG .=re uOHia:dk cd;sl wOHdmk</w:t>
      </w:r>
    </w:p>
    <w:p>
      <w:pPr>
        <w:spacing w:before="74" w:line="217" w:lineRule="exact"/>
        <w:ind w:left="1474"/>
      </w:pPr>
      <w:r>
        <w:rPr>
          <w:spacing w:val="20"/>
          <w:sz w:val="21"/>
          <w:szCs w:val="21"/>
          <w:rFonts w:ascii="Leelawadee UI Semilight" w:hAnsi="Leelawadee UI Semilight" w:cs="Leelawadee UI Semilight"/>
          <w:color w:val="231f20"/>
        </w:rPr>
        <w:t xml:space="preserve">wdh;kh yd úYajúoHd, jYfhka wdh;k j¾. lr tla tla wdh;k</w:t>
      </w:r>
    </w:p>
    <w:p>
      <w:pPr>
        <w:spacing w:before="74" w:line="217" w:lineRule="exact"/>
        <w:ind w:left="1474"/>
      </w:pPr>
      <w:r>
        <w:rPr>
          <w:spacing w:val="9"/>
          <w:sz w:val="21"/>
          <w:szCs w:val="21"/>
          <w:rFonts w:ascii="Leelawadee UI Semilight" w:hAnsi="Leelawadee UI Semilight" w:cs="Leelawadee UI Semilight"/>
          <w:color w:val="231f20"/>
        </w:rPr>
        <w:t xml:space="preserve">j,g ksYaÑ; YsIHhka ixLHdjla fjkafldg we;' fuu YsIHhkag cd;sl</w:t>
      </w:r>
    </w:p>
    <w:p>
      <w:pPr>
        <w:spacing w:before="74" w:line="217" w:lineRule="exact"/>
        <w:ind w:left="1474"/>
      </w:pPr>
      <w:r>
        <w:rPr>
          <w:spacing w:val="-4"/>
          <w:sz w:val="21"/>
          <w:szCs w:val="21"/>
          <w:rFonts w:ascii="Leelawadee UI Semilight" w:hAnsi="Leelawadee UI Semilight" w:cs="Leelawadee UI Semilight"/>
          <w:color w:val="231f20"/>
        </w:rPr>
        <w:t xml:space="preserve">wOHdmk úoHd mSGj,g ,nd§ we;af;a úoHd mSG moaO;sfha .=Kd;aul</w:t>
      </w:r>
    </w:p>
    <w:p>
      <w:pPr>
        <w:spacing w:before="74" w:line="217" w:lineRule="exact"/>
        <w:ind w:left="1474"/>
      </w:pPr>
      <w:r>
        <w:rPr>
          <w:spacing w:val="16"/>
          <w:sz w:val="21"/>
          <w:szCs w:val="21"/>
          <w:rFonts w:ascii="Leelawadee UI Semilight" w:hAnsi="Leelawadee UI Semilight" w:cs="Leelawadee UI Semilight"/>
          <w:color w:val="231f20"/>
        </w:rPr>
        <w:t xml:space="preserve">ixj¾Okh iy;sl lrkq msKsih' tA wkqj Wla; ks&lt;Odßhdg fulS</w:t>
      </w:r>
    </w:p>
    <w:p>
      <w:pPr>
        <w:spacing w:before="74" w:line="217" w:lineRule="exact"/>
        <w:ind w:left="1474"/>
      </w:pPr>
      <w:r>
        <w:rPr>
          <w:spacing w:val="3"/>
          <w:sz w:val="21"/>
          <w:szCs w:val="21"/>
          <w:rFonts w:ascii="Leelawadee UI Semilight" w:hAnsi="Leelawadee UI Semilight" w:cs="Leelawadee UI Semilight"/>
          <w:color w:val="231f20"/>
        </w:rPr>
        <w:t xml:space="preserve">YsIH;aj ,nd § we;af;ao úoHd mSG moaO;sfha .=Kd;aul ixj¾Okhg</w:t>
      </w:r>
    </w:p>
    <w:p>
      <w:pPr>
        <w:spacing w:before="74" w:line="217" w:lineRule="exact"/>
        <w:ind w:left="1474"/>
      </w:pPr>
      <w:r>
        <w:rPr>
          <w:spacing w:val="16"/>
          <w:sz w:val="21"/>
          <w:szCs w:val="21"/>
          <w:rFonts w:ascii="Leelawadee UI Semilight" w:hAnsi="Leelawadee UI Semilight" w:cs="Leelawadee UI Semilight"/>
          <w:color w:val="231f20"/>
        </w:rPr>
        <w:t xml:space="preserve">lemùu i|ydh'˜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letter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clearly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indicates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basis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petitioner was selected for the scholarship in question and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objectives the Government wished to achieve through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 a scholarship.</w:t>
      </w:r>
    </w:p>
    <w:p>
      <w:pPr>
        <w:spacing w:before="24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When a lecturer is sent on a scholarship to further his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studies, the intention of the relevant authority is to see that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scholar on his return would be in a position to serve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56</w:t>
      </w:r>
      <w:r>
        <w:rPr>
          <w:sz w:val="18"/>
          <w:szCs w:val="18"/>
          <w:rFonts w:ascii="Book Antiqua" w:hAnsi="Book Antiqua" w:cs="Book Antiqua"/>
          <w:color w:val="231f20"/>
          <w:spacing w:val="200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institu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tion for a stipulated period. In the event that offcer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unable to serve such obligatory period then he should be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a position to pay the money expended during that period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accordance with the agreement he had entered into with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relevant institution. When scholarships are granted for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purpose of professional development of its staff members,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any institution would require such an offcer to continue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serve in that place, at least for a specifc period.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provisions contained in the Minutes of the Sri Lanka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Teacher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Educator’s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Service,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substantiates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 to Clause 21 of the said Minute, which deals with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professional development, it is clearly stated that,</w:t>
      </w:r>
    </w:p>
    <w:p>
      <w:pPr>
        <w:spacing w:before="2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“Scholarships,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attachments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study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tours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</w:p>
    <w:p>
      <w:pPr>
        <w:spacing w:before="5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awarded to the member of the Service for study within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Sri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Lanka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abroad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depending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suitability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candidate  and  the  requirements  of  the  respective</w:t>
      </w:r>
    </w:p>
    <w:p>
      <w:pPr>
        <w:spacing w:before="5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programmes and the recommendations of the Colleges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Education  Board  to  enable  the  Teacher  Educators</w:t>
      </w:r>
    </w:p>
    <w:p>
      <w:pPr>
        <w:spacing w:before="59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become more professionally qualifed. the selection</w:t>
      </w:r>
    </w:p>
    <w:p>
      <w:pPr>
        <w:spacing w:before="5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procedure and other requirements for selection will be</w:t>
      </w:r>
    </w:p>
    <w:p>
      <w:pPr>
        <w:spacing w:before="59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stipulated by the Secretary of the Ministry. The Teacher</w:t>
      </w:r>
    </w:p>
    <w:p>
      <w:pPr>
        <w:spacing w:before="59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Educators on completion of the course of study tour or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attachment are required to continue to serve as Teacher</w:t>
      </w:r>
    </w:p>
    <w:p>
      <w:pPr>
        <w:spacing w:before="5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Educators.”</w:t>
      </w:r>
    </w:p>
    <w:p>
      <w:pPr>
        <w:spacing w:before="257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is therefore abundantly clear that the petitioner had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serve the obligatory service period at the Siyane National</w:t>
      </w:r>
    </w:p>
    <w:p>
      <w:pPr>
        <w:spacing w:before="5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College of Education and according to the Agreement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was bound to serve the Government unless other-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wise directed, for a period not less than 8 years and 7 months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the Siyane National College of Education. It is not disputed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Arial Unicode MS">
    <w:panose1 w:val="02020603050405020304"/>
    <w:charset w:val="00"/>
    <w:pitch w:val="variable"/>
    <w:sig w:usb0="00007a87" w:usb1="80000000" w:usb2="00000008" w:usb3="00000000" w:csb0="400001ff" w:csb1="ffff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Nirmala UI Semilight">
    <w:panose1 w:val="00000400000000000000"/>
    <w:charset w:val="00"/>
    <w:pitch w:val="variable"/>
    <w:sig w:usb0="00000000" w:usb1="00000000" w:usb2="00000000" w:usb3="00000000" w:csb0="00000000" w:csb1="0000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