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5</w:t>
      </w:r>
    </w:p>
    <w:p>
      <w:pPr>
        <w:spacing w:before="153" w:line="200" w:lineRule="exact"/>
        <w:ind w:left="340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113 - 140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90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Company (Printers)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CUSTOMS ORDINANCE</w:t>
      </w:r>
      <w:r>
        <w:rPr>
          <w:b w:val="true"/>
          <w:sz w:val="16"/>
          <w:szCs w:val="16"/>
          <w:rFonts w:ascii="Arimo" w:hAnsi="Arimo" w:cs="Arimo"/>
          <w:color w:val="231f20"/>
          <w:spacing w:val="33"/>
        </w:rPr>
        <w:t xml:space="preserve"> </w:t>
      </w:r>
      <w:r>
        <w:rPr>
          <w:spacing w:val="5"/>
          <w:sz w:val="16"/>
          <w:szCs w:val="16"/>
          <w:rFonts w:ascii="Arimo" w:hAnsi="Arimo" w:cs="Arimo"/>
          <w:color w:val="231f20"/>
        </w:rPr>
        <w:t xml:space="preserve">- Section 47, Section 51, Section 52 - Willfully</w:t>
      </w:r>
      <w:r>
        <w:rPr>
          <w:sz w:val="16"/>
          <w:szCs w:val="16"/>
          <w:rFonts w:ascii="Arimo" w:hAnsi="Arimo" w:cs="Arimo"/>
          <w:color w:val="231f20"/>
          <w:spacing w:val="303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113</w:t>
      </w:r>
    </w:p>
    <w:p>
      <w:pPr>
        <w:spacing w:before="4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failing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classify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foods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Misdescription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Non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declaration</w:t>
      </w:r>
      <w:r>
        <w:rPr>
          <w:sz w:val="16"/>
          <w:szCs w:val="16"/>
          <w:rFonts w:ascii="Arimo" w:hAnsi="Arimo" w:cs="Arimo"/>
          <w:color w:val="231f20"/>
          <w:spacing w:val="9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</w:p>
    <w:p>
      <w:pPr>
        <w:spacing w:before="8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royalty - Is it undervaluation?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Utsch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Lanka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(Pvt)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Ltd., And Another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Vs.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Deputy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Director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Customs And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 from Part 4)</w:t>
      </w:r>
    </w:p>
    <w:p>
      <w:pPr>
        <w:spacing w:before="293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DONATION OF IMMOVABLE PROPERTY –</w:t>
      </w:r>
      <w:r>
        <w:rPr>
          <w:b w:val="true"/>
          <w:sz w:val="16"/>
          <w:szCs w:val="16"/>
          <w:rFonts w:ascii="Arimo" w:hAnsi="Arimo" w:cs="Arimo"/>
          <w:color w:val="231f20"/>
          <w:spacing w:val="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Revocation of gifts – Donation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124</w:t>
      </w:r>
    </w:p>
    <w:p>
      <w:pPr>
        <w:spacing w:before="32" w:line="160" w:lineRule="exact"/>
        <w:ind w:left="1477"/>
      </w:pPr>
      <w:r>
        <w:rPr>
          <w:spacing w:val="8"/>
          <w:sz w:val="16"/>
          <w:szCs w:val="16"/>
          <w:rFonts w:ascii="Arimo" w:hAnsi="Arimo" w:cs="Arimo"/>
          <w:color w:val="231f20"/>
        </w:rPr>
        <w:t xml:space="preserve">given in contemplation of marriage – Impeaching the credit of a</w:t>
      </w:r>
    </w:p>
    <w:p>
      <w:pPr>
        <w:spacing w:before="31" w:line="160" w:lineRule="exact"/>
        <w:ind w:left="1477"/>
      </w:pPr>
      <w:r>
        <w:rPr>
          <w:spacing w:val="8"/>
          <w:sz w:val="16"/>
          <w:szCs w:val="16"/>
          <w:rFonts w:ascii="Arimo" w:hAnsi="Arimo" w:cs="Arimo"/>
          <w:color w:val="231f20"/>
        </w:rPr>
        <w:t xml:space="preserve">witness, not cross – examined by the adverse party – Evidence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Ordinance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164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Using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as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evidence,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document,</w:t>
      </w:r>
    </w:p>
    <w:p>
      <w:pPr>
        <w:spacing w:before="31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production of which was refused on notice – Section 165 – Judges’</w:t>
      </w:r>
    </w:p>
    <w:p>
      <w:pPr>
        <w:spacing w:before="6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power to put questions or order production of any document or thing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Ariyawathie Meemaduma V. Jeewani Budhika Meemaduma</w:t>
      </w:r>
    </w:p>
    <w:p>
      <w:pPr>
        <w:spacing w:before="314" w:line="17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WRIT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CERTIORARI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-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Constitution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Article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140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Appeal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135</w:t>
      </w:r>
    </w:p>
    <w:p>
      <w:pPr>
        <w:spacing w:before="3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(Appellate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Procedure)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Rules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1990-91-</w:t>
      </w:r>
      <w:r>
        <w:rPr>
          <w:sz w:val="16"/>
          <w:szCs w:val="16"/>
          <w:rFonts w:ascii="Arimo" w:hAnsi="Arimo" w:cs="Arimo"/>
          <w:color w:val="231f20"/>
          <w:spacing w:val="8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Affdavit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mandatory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</w:p>
    <w:p>
      <w:pPr>
        <w:spacing w:before="3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Defective affdavit- Is there a valid application for writ?- Buddhist nor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affrming - Oaths and Affrmation Ordinance 9 of 1985 Civil Procedure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Code - Section 438 - Judicial review available - Fair hearing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Multi Purpose Co-operative Society, Madawachchiya vs. Kirimudi-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yanse and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in Part 6)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113</w:t>
      </w:r>
    </w:p>
    <w:p>
      <w:pPr>
        <w:spacing w:before="355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 presented the plates already bear several “Lion” water-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marks, as well as pre-engraved secret numbers. The national</w:t>
      </w:r>
    </w:p>
    <w:p>
      <w:pPr>
        <w:spacing w:before="51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emblem of the country of use is printed in the corner of the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plates. After importation, this information is supplemented by</w:t>
      </w:r>
    </w:p>
    <w:p>
      <w:pPr>
        <w:spacing w:before="51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national license number plate of the corresponding motor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 and the plate is issued to the owner.”</w:t>
      </w:r>
    </w:p>
    <w:p>
      <w:pPr>
        <w:spacing w:before="24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sought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advice: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product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classifed in heading 83.10 or in heading 76.16.</w:t>
      </w:r>
    </w:p>
    <w:p>
      <w:pPr>
        <w:spacing w:before="249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Secretariat’s opinion: The article in question is an</w:t>
      </w:r>
    </w:p>
    <w:p>
      <w:pPr>
        <w:spacing w:before="51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aluminium plate which already contains preprinted security</w:t>
      </w:r>
    </w:p>
    <w:p>
      <w:pPr>
        <w:spacing w:before="51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information which determines its future use. On the basis of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its  content  and  presentation  Secretariat  conclude  that  this</w:t>
      </w:r>
    </w:p>
    <w:p>
      <w:pPr>
        <w:spacing w:before="51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a licence number plate presented unfnished but already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displaying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essential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characteristics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</w:t>
      </w:r>
    </w:p>
    <w:p>
      <w:pPr>
        <w:spacing w:before="51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licence number plate. This interpretation is supported by the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second  paragraph  of  the  explanatory  note  to  this  heading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stipulates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“some</w:t>
      </w:r>
      <w:r>
        <w:rPr>
          <w:i w:val="true"/>
          <w:sz w:val="21"/>
          <w:szCs w:val="21"/>
          <w:rFonts w:ascii="Cambria" w:hAnsi="Cambria" w:cs="Cambria"/>
          <w:color w:val="231f20"/>
          <w:spacing w:val="10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plates.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designed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subsequent insertion of details” belong in heading 83.10.</w:t>
      </w:r>
    </w:p>
    <w:p>
      <w:pPr>
        <w:spacing w:before="25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World Customs Organization has described the goods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issue under heading 83.10 not because the blank plate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contains any letters, numbers or designs on them (Comments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made by the Sri Lanka Customs in advise No TC/99/177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17.12.1999 that if the plates imported bear any letters,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Nos or designs they would fall under 8310.00) but because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plate is designed for the subsequent insertion of details.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above  facts  show  that  the  Customs  Department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itself had doubts as to whether the number plates containing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security features (such as lion water marks, pre-engraved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secret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Emblem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classifed in heading 83.10 or in heading 76.16.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circumstances the Petitioners’ claim that they relied 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advice bearing No TC/99/177 dated 17.12.1999 that the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aluminium plate they imported with security features falls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 HS  code  7616.99  and  declared  accordingly  in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CUSDEC cannot be said to have been done with the intention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defrauding the Revenue. The Supreme Court in</w:t>
      </w:r>
      <w:r>
        <w:rPr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Toyota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 (Pvt) Limited v. Director General of Customs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that in the absence of stealth, to evade payment of customs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duties or dues that the forfeiture provided for in Section 47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would not apply to a situation of a disputed classifcation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or an under payment of short levy of dues or duties.</w:t>
      </w:r>
    </w:p>
    <w:p>
      <w:pPr>
        <w:spacing w:before="23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But now an opinion has been obtained from the World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Customs Organization that the aluminium plate with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features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presented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unfnished but already displaying the essential characteris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tics of a motor vehicle licence number plate. This interpreta-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is supported by the second paragraph of the explanatory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note to this heading which stipulates that “some plates . . .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designed for the subsequent insertion of details” belong in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heading 83.10. In view of this opinion all the consignments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aluminum plates imported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falls within</w:t>
      </w:r>
    </w:p>
    <w:p>
      <w:pPr>
        <w:spacing w:before="1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classifcation of Hs Code 8310.00 in the circumstances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duties short levied in the imports of the said 22 consign-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could be recovered as provided for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Section 18 of the Customs Ordinance.</w:t>
      </w:r>
    </w:p>
    <w:p>
      <w:pPr>
        <w:spacing w:before="23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Undervaluation by non declaration of royalty</w:t>
      </w:r>
    </w:p>
    <w:p>
      <w:pPr>
        <w:spacing w:before="18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1999</w:t>
      </w:r>
    </w:p>
    <w:p>
      <w:pPr>
        <w:spacing w:before="1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manufacture, supply and delivery of retro-refective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number plates with embossed number and security sticker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windscreen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Erich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Utsch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Motor Traffc. The principal contractor by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letter dated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 informed the Commissioner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otor Traffc that for the purpose of having a local contract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 the Department of Motor Traffc and as it is easier for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project implementation and monitoring with a local team,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contractual obligation of Erich Utsch AG was assigned to</w:t>
      </w:r>
    </w:p>
    <w:p>
      <w:pPr>
        <w:spacing w:before="0" w:line="201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Utsch Lanka (Pvt)  Ltd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 a Company incor-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porated in Sri Lanka under the terms and conditions agreed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between these two parties. One of the terms of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 is that the Licensor pay the Licensee a royalty fee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provision of technology, expertise and training for 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project by the Licensor. The payment related to the royal-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ty was embodied in an agreement between Erich Utsch AG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2000 (P5). One of the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conditions of the said agreement is the payment of Royalty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Fee of ten per cent (10%) per annum of the total turnover of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as per the audited accounts.</w:t>
      </w:r>
    </w:p>
    <w:p>
      <w:pPr>
        <w:spacing w:before="334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charge against the Petitioner is that it has failed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all the instances to declare the royalty payments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imported. As such the Petitioner has undervalued the goods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defrauded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 customs duty.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above charge is in relation to the Customs valuation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goods imported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 For the purpose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customs duty the value of the goods has to be determined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the time of importation. As provided by Section 51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Ordinance it is the duty of the importer or his agent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state the value of the article imported in the ‘Sri Lanka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- Value Declaration Form’ together with the descrip-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 and quantity of the same. Such value shall be deter-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mined in accordance with the provisions of Schedule E, of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Customs Ordinance and duties shall be paid on a value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 determined.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9mm;margin-top:41.99mm;width:110.00mm;height:62.41mm;margin-left:19.09mm;margin-top:41.99mm;width:110.00mm;height:62.41mm;z-index:-1;mso-position-horizontal-relative:page;mso-position-vertical-relative:page;" coordsize="100000,100000" path="m0,100000l100000,100000l100000,0l0,0l0,100000x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said form in Column 16 requests the declaration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following particulars:</w:t>
      </w:r>
    </w:p>
    <w:p>
      <w:pPr>
        <w:spacing w:before="449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16.  Declare any  of the following costs &amp; services and not included</w:t>
      </w:r>
    </w:p>
    <w:p>
      <w:pPr>
        <w:spacing w:before="4" w:line="211" w:lineRule="exact"/>
        <w:ind w:left="159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invoice value in terms of Article 8(1) and 8 (2) of Schedule</w:t>
      </w:r>
    </w:p>
    <w:p>
      <w:pPr>
        <w:spacing w:before="4" w:line="211" w:lineRule="exact"/>
        <w:ind w:left="159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 for the Customs Ordinance.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(a) Brokerage and Commission : N/A (b)  Cost of Containers: N/A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(c) Packing Costs: N/A</w:t>
      </w:r>
      <w:r>
        <w:rPr>
          <w:sz w:val="18"/>
          <w:szCs w:val="18"/>
          <w:rFonts w:ascii="Bookman Old Style" w:hAnsi="Bookman Old Style" w:cs="Bookman Old Style"/>
          <w:color w:val="231f20"/>
          <w:spacing w:val="12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(d) Cost of goods and services</w:t>
      </w:r>
    </w:p>
    <w:p>
      <w:pPr>
        <w:spacing w:before="4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4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supplied by the buyer: N/A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(e) Royalities and license fees: N//A</w:t>
      </w:r>
      <w:r>
        <w:rPr>
          <w:sz w:val="18"/>
          <w:szCs w:val="18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(f)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Value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Proceeds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4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4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accrue to sellers:  N/A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(g) Loading, Unloading, Handing</w:t>
      </w:r>
      <w:r>
        <w:rPr>
          <w:sz w:val="18"/>
          <w:szCs w:val="18"/>
          <w:rFonts w:ascii="Bookman Old Style" w:hAnsi="Bookman Old Style" w:cs="Bookman Old Style"/>
          <w:color w:val="231f20"/>
          <w:spacing w:val="40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(h) Insurance EURO 606:12</w:t>
      </w:r>
    </w:p>
    <w:p>
      <w:pPr>
        <w:spacing w:before="4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Charges: N/A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(In the country of exportation)</w:t>
      </w:r>
    </w:p>
    <w:p>
      <w:pPr>
        <w:spacing w:before="118" w:line="211" w:lineRule="exact"/>
        <w:ind w:left="120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(i)  Feight N/A</w:t>
      </w:r>
      <w:r>
        <w:rPr>
          <w:sz w:val="18"/>
          <w:szCs w:val="18"/>
          <w:rFonts w:ascii="Bookman Old Style" w:hAnsi="Bookman Old Style" w:cs="Bookman Old Style"/>
          <w:color w:val="231f20"/>
          <w:spacing w:val="1996"/>
        </w:rPr>
        <w:t xml:space="preserve"> </w:t>
      </w:r>
      <w:r>
        <w:rPr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(j) Others payments, if any: N/A</w:t>
      </w:r>
    </w:p>
    <w:p>
      <w:pPr>
        <w:spacing w:before="506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Petitioner in the said Value Declaration form declared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against the Column Royalties and license fees - N/A (not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applicable). On the value declared by the Petitioner in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duties were paid by the Petitioner.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submitted that according to the license</w:t>
      </w:r>
    </w:p>
    <w:p>
      <w:pPr>
        <w:spacing w:before="0" w:line="209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agreement between Erich Utsch AG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March 200 P5 a payment of 10% royalty for the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technology,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expertise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project has to be paid to Erich Utsch AG per annum of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 turnover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as per the audited accounts.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Hence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should have declared in the Value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 Form the payment of royalty. Whether a payment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royalty is applicable to customs valuation purpose or not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a matter for customs to decide upon accurate informa-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in consultation with each other. Therefore the failure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declare the royalty payments has clearly deprived customs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opportunity and has helped the Petitioner to evade due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 of customs duty.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technology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expertise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training for the project has to be added to the value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imported? If not is it necessary to declare the payment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royalty in the Value Declaration Form?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 observed  above  the  determination  of  the  value  of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goods imported is for the purpose of determining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duty. According to Section 51 the value of the goods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 has to be determined in accordance with Schedule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 of the Customs (Amendment) Act No. 2 of 2003. Article 1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E states: the customs value of any imported goods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shall be the transaction value, that is the price actually paid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payable for the goods when sold for export to Sri Lanka as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adjusted with the provisions of Article 8. Article 8(1)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schedule states;</w:t>
      </w:r>
    </w:p>
    <w:p>
      <w:pPr>
        <w:spacing w:before="23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determining the customs value under the provisions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Article 1, there shall be added to the price actually paid or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payable for the imported goods: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(a). .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(b)...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Royalties and license fees related to the goods being</w:t>
      </w:r>
    </w:p>
    <w:p>
      <w:pPr>
        <w:spacing w:before="39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valued that the buyer must pay, either directly or</w:t>
      </w:r>
    </w:p>
    <w:p>
      <w:pPr>
        <w:spacing w:before="39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indirectly, as a condition of sale of the goods being</w:t>
      </w:r>
    </w:p>
    <w:p>
      <w:pPr>
        <w:spacing w:before="3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valued to the extent that such royalties and fees are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included in the price actually paid or payable.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......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4.11mm;margin-top:136.29mm;width:42.82mm;height:0.00mm;margin-left:34.11mm;margin-top:136.29mm;width:42.82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price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actually paid to the imported goods. It is admitted that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royalty is not included in the price actually paid. The issue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whether the royalty that has to be paid by the Petitioner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provision of technology, expertise and training for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 be added to the prices actually paid for the imported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goods for the purpose of determining the customs value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in order to determine the customs duty.</w:t>
      </w:r>
    </w:p>
    <w:p>
      <w:pPr>
        <w:spacing w:before="6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0" w:line="177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important to note that the duties of customs shall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levied and paid upon all goods and merchandise imported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into or exported from Sri Lanka under Section 10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Ordinance at the time of importation or exportation.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the price of the goods has to be determined at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of importation to facilitate the payment of customs duty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time of importation. Article 1 of Schedule E states: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value of any imported goods shall be the transaction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value, that is the price actually paid or payable for the goods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 sold  for  export  to  Sri  Lanka  as  adjusted  with 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provisions of Article 8. The price of the goods at the time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importation is :- price actually paid with royalty paid 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payable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 the goods imported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4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example if the goods are imported under a foreign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trade mark, the value of the right to use the patent, pro-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tected design or trade mark, shall be added to the normal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price. It is admitted that the goods imported are rectangular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aluminum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various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dimensions,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rounded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corners and raised edges, covered with a refective foil with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several lion water marks, pre-engraved secret numbers and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national emblem of Sri Lanka. It is also admitted that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  is  paid  or  payable  to  the  technology  used  in 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manufacture of the said blank aluminium plates or for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inscription of lion water marks, pre-engraved secret numbers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national emblem of Sri Lanka. Therefore it is evident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royalty is not paid or payable to anything done 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 in the said plate at the time of importation.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paid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technology,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expertise  and  training  for  the  embossing  and  printing 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motor vehicle number (with two letters, four numbers across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plate separated by a dash with a provincial identifca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(two) letters) on the aluminium plate imported. Number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imported aluminium plates (goods) used for embossing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independent  of the  quantity of the goods imported.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payment of royalty is defned under Article 8 of Schedule E,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the royalty and license fees should be related to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goods being valued, and royalty and license fees should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 condition of sale of the goods being valued.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valued?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raw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materials  and  consumables  required  for  the  manufacture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supply of number plates. The royalty paid under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license agreement does not relate to the said imported goods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they are not imported pursuant to the license agreements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(P5). The royalty that is paid is not in respect of imported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goods but in relation to the necessary technology, expertise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training used in the process of manufacturing of number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 and the sale of number plate takes place in Sri Lanka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Department of Motor Vehicle. The contention of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Respondents is that the technology cannot be used by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importer on any product except the product imported from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exporter. Thus the royalty is clearly related to the goods.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 similar position was taken  by  the  Revenue  of India  in</w:t>
      </w:r>
    </w:p>
    <w:p>
      <w:pPr>
        <w:spacing w:before="45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Commissioner of Customs (Port), vs. M/S Toyata Kirloskar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Motor Pvt Appeal (Civil)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payments of royalty, according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the Revenue, have a direct nexus to the imported goods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manufacture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vehicles and spare parts. The Court observed: “The basic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principle of levy of customs duty, in view of the aforementioned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provisions, is that the values of the imported goods has to be</w:t>
      </w:r>
    </w:p>
    <w:p>
      <w:pPr>
        <w:spacing w:before="4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determined at the time and place of importation. The value to be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determined for the imported goods would be the payment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required to be made as a condition of sale. Assessment of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customs duty must have a direct nexus with the value of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goods which was payable at the time of importation. If any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amount is to be paid after the importation of the goods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completed, inter alia by way of transfer of license or technical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know how for the purpose of setting up of a plant from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machinery imported or running thereof, the same would not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computed for the said purpose. Any amount paid for post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importation service or activity, would not, therefore, come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within the purview of the determination of assessable value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imported goods so as to enable the authorities to levy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duty or otherwise.”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goods valued are the ‘Rectangular Blank Aluminum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Plates’ (with rounded corners and raised edges, covered with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refective foil with several lion water marks, pre-engraved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secret numbers and the national emblem of Sri Lanka) and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the fnished number plates. There is no royalty payment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attached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‘Rectangular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Aluminum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Plates’ at the time of valuation or at any later stage. But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 would accrue if and when the numbers are embossed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plates and sold. The royalty have a direct nexus to 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fnished product but it does not have a direct nexus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 goods.</w:t>
      </w:r>
    </w:p>
    <w:p>
      <w:pPr>
        <w:spacing w:before="24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royalty payment a condition of sale? The Petitioner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contended that under the license agreement P5 the royalty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 paid  on  the  total  annual  turnover  as  per  the  audited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121</w:t>
      </w:r>
    </w:p>
    <w:p>
      <w:pPr>
        <w:spacing w:before="29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accounts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 hence it cannot be said that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royalty is paid as a condition of sale of the goods being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valued. The entire transaction between the parties establishes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the payment of royalty is not a pre condition for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sale of raw materials. The submission of the Respondents is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agreement between the Petitioner and Erich Utsch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 is for the complete transaction as such the importation,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embossing and sale are linked together and the failure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of the Petitioner to pay the royalty would amount to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refusal of future sale of the aluminum plates. The Respondent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further contended that the ‘condition of sale’ should not be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 as ‘a condition of contract of sale’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Chief Executive Offcer</w:t>
      </w:r>
    </w:p>
    <w:p>
      <w:pPr>
        <w:spacing w:before="0" w:line="213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New Zealand Customs Service v. Nike New Zealand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submitted that in the given circumstances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royalty payment is a condition of sale.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</w:p>
    <w:p>
      <w:pPr>
        <w:spacing w:before="57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the South African Revenue Service v. Delta Motors Corpo-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ration (Property) Limited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considered the payment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royalty in relation to the customs duty. The Respondent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was a motor vehicle manufacturer and distributor.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imported vehicle parts completely knocked down (CKD)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Germany.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paid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calculated  on  the  invoice  amount  per  kit  which  invoiced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amount included not only the purchase price but also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unspecifed charge by Opeal for engineering, styling and tool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(EST). The company requested refund of customs duty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ground that the EST charge paid to Opal and included in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invoiced amount was not part of the price payable for CKD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but instead a non-dutyable royalty. The court held “In the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present matter the sale of kits to the respondent is regulated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supply  agreement.  Nothing  in  that  agreement  makes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charges now in dispute payable as a condition of sale.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engineering and styling charges constitute the royalty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6.25mm;margin-top:60.49mm;width:1.95mm;height:0.25mm;margin-left:66.25mm;margin-top:60.49mm;width:1.95mm;height:0.25mm;z-index:-1;mso-position-horizontal-relative:page;mso-position-vertical-relative:page;" coordsize="100000,100000" path="m0,100000l100000,100000l100000,0l0,0l0,100000xnfe" fillcolor="#231f2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payable, not in terms of the supply agreement but the A and 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agreement. As for the tooling charges (assuming they amount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to royalty or license fees) they too are not payable pursuant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anything contained in the supply agreement. The ETS charg-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es are consequently not payable ‘as a condition of sale’.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contrary, in so far as the supply agreement does apply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charges it makes them payable even if no kits are sold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(so long, of course, as assembled vehicles are sold). It follows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further from what has been said already that the EST charges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 paid  in  respect  of  “assembled  vehicles  sold  and  not”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respect of imported kits. The terms of Section 67(1) (c)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are accordingly inapplicable and in consequence the EST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“charges were not dutiable”.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8 (C) of Schedule E of the Customs (Amendment)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2003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similar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67(1) (c) of the Customs and Excise Act 91 of 1964 of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South African Act. In the instant case too, the royalty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paid on the fnished product and not on the aluminum plate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imported. Even though the fnished products were made out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aluminum plates sold it does not mean that the sale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aluminum plates has a direct link to the manufacture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fnished product. As I have observed above the number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aluminum plates sold to the licensor need not be equal to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manufacture of the number plates, taking in to consideration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stock in trade, waste and damages etc. The sale of the</w:t>
      </w:r>
    </w:p>
    <w:p>
      <w:pPr>
        <w:spacing w:before="0" w:line="20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aluminum plates with security features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4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was under the terms and conditions of the principal Agreement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October 1999 and by the assignment of the</w:t>
      </w:r>
    </w:p>
    <w:p>
      <w:pPr>
        <w:spacing w:before="1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contractual obligation of Erich Utsch AG to Utsch Lanka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(Pvt)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Ltd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2000. The payment of royalty is not included in any of these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agreements. The royalty is paid in relation to an agreement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123</w:t>
      </w:r>
    </w:p>
    <w:p>
      <w:pPr>
        <w:spacing w:before="29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entered between Erich Utsch AG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on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2000 (P5) and the royalty is paid not on a fxed rate or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 on the purchase price but on the sale of the completed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number plates. As such the royalty payment depends on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rate of manufacture of the vehicle number plate. There</w:t>
      </w:r>
    </w:p>
    <w:p>
      <w:pPr>
        <w:spacing w:before="0" w:line="209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is nothing to prevent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 to purchase large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quantities of aluminum plates from Erich Utsch AG and after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having a substantial stock with it, to start manufacture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number plates. There is no merit in the submission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that the sale of the aluminium plates depends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payment of royalty.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considering all the facts and circumstances of this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it is clear that the royalty payment is not related to the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imported goods or it is a condition of sale of the imported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(aluminium plates) therefore the royalty payment need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be added to the price actually paid. Hence the failure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enter the payment of royalty in the Custom Value Declara-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Form will not amount to a false declaration to charge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under Section 52 of the Customs Ordinance.</w:t>
      </w:r>
    </w:p>
    <w:p>
      <w:pPr>
        <w:spacing w:before="25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this court issue a writ of</w:t>
      </w:r>
    </w:p>
    <w:p>
      <w:pPr>
        <w:spacing w:before="0" w:line="209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certiorari to quash the order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dated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16.01.2007 marked P18 (f). Application for a writ of certiorari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allowed as prayed for in prayer (d) of the Petitioner without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costs.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partly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63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ARIYAWATHIE MEEMADUMA V.</w:t>
      </w:r>
    </w:p>
    <w:p>
      <w:pPr>
        <w:spacing w:before="15" w:line="210" w:lineRule="exact"/>
        <w:ind w:left="247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JEEWANI BUDHIKA MEEMADUMA</w:t>
      </w:r>
    </w:p>
    <w:p>
      <w:pPr>
        <w:spacing w:before="57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AMARATHNGA, J.,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 AND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S.C.APPEAL NO. 68/2010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W.P./HCCA/COL. 98/2006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COLOMBO 7402/SPL</w:t>
      </w:r>
    </w:p>
    <w:p>
      <w:pPr>
        <w:spacing w:before="0" w:line="14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48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Donation of immovable property – Revocation of gifts – Donation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given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contemplation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marriage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90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Impeaching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credit</w:t>
      </w:r>
    </w:p>
    <w:p>
      <w:pPr>
        <w:spacing w:before="14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of a witness, not cross – examined by the adverse party – Evi-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dence Ordinance – Section 164 – Using as evidence, of document,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production of which was refused on notice – Section 165 – Judges’</w:t>
      </w:r>
    </w:p>
    <w:p>
      <w:pPr>
        <w:spacing w:before="14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power to put questions or order production of any document or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thing</w:t>
      </w:r>
    </w:p>
    <w:p>
      <w:pPr>
        <w:spacing w:before="184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The District Judge dismissed the Plaintiff Appellant’s action on the basis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the Appellant has failed to establish any ground on which donor is</w:t>
      </w:r>
    </w:p>
    <w:p>
      <w:pPr>
        <w:spacing w:before="14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entitled to in law to revoke a deed of gift. The appeal fled by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against the judgment of the District Court too was dismissed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the Civil Appellate High Court. The learned High Court Judge agreed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the view of the learned District Judge that the deed of gift sought</w:t>
      </w:r>
    </w:p>
    <w:p>
      <w:pPr>
        <w:spacing w:before="1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to be revoked had been given in contemplation of the Defendant’s</w:t>
      </w:r>
    </w:p>
    <w:p>
      <w:pPr>
        <w:spacing w:before="1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Respondent's marriage, and had stated, that a donation given in con-</w:t>
      </w:r>
    </w:p>
    <w:p>
      <w:pPr>
        <w:spacing w:before="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templation of the marriage is not revocable, if the contemplated mar-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riage had in fact taken place.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A deed of gift is absolute and irrevocable. There are however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certain exceptions to the rule of irrevocability.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J., -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“”A deed of gift is absolute and irrevocable”. That is the rule.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However, the law has recognized certain exceptions to the rule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98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Ariyawathie Meemaduma V. Jeewani Budhika Meemaduma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125</w:t>
      </w:r>
    </w:p>
    <w:p>
      <w:pPr>
        <w:spacing w:before="36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irrevocability. A party applying to Court to invoke the exceptions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his favour has to satisfy Court, by cogent evidence, that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would be justifed in invoking the exception in favour of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party applying for the same.”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“A mere</w:t>
      </w:r>
      <w:r>
        <w:rPr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ipse dixit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like, ‘he threatened to kill me’ is not suffcient to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discharge that burden.”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the evidence available, no reasonable Judge, properly directed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on the law relating to the burden of proof which rested on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Appellant, could have given a decision in favour of the Appellant.</w:t>
      </w:r>
    </w:p>
    <w:p>
      <w:pPr>
        <w:spacing w:before="2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conclusion of the trial Judge and the Civil Appellate Court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that the Appellant has failed to establish her case is therefore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correct in law.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Appellant’s case had been dismissed not on the basis that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deed of gift is irrevocable but on the basis that the Appellant had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failed to prove the grounds relied upon by her to revoke the deed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gift.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Sections 164 and 165 of the Civil Procedure Code and Section 165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Evidence Ordinance do not require a Judge to step in to fll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gaps of a case presented by a party.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Dona Podinona Ranaweera Menike V. Rohini Senanayake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(1992)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 Sri L.R. 180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from the High Court of the Western Province exercising Civil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Appellate Jurisdiction.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Nishantha Sirimanne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Plaintiff-Appellant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Defendent-Respondent absent and unrepresented</w:t>
      </w:r>
    </w:p>
    <w:p>
      <w:pPr>
        <w:spacing w:before="107" w:line="211" w:lineRule="exact"/>
        <w:ind w:left="616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 adv. vult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6" w:line="246" w:lineRule="exact"/>
        <w:ind w:left="1077"/>
      </w:pP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GAmini AmArAtUnGA J.</w:t>
      </w:r>
    </w:p>
    <w:p>
      <w:pPr>
        <w:spacing w:before="21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is  an  appeal,  with  leave  granted  by  this  Court,</w:t>
      </w:r>
    </w:p>
    <w:p>
      <w:pPr>
        <w:spacing w:before="49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against the judgment of the High Court of the Western Province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exercising civil appellate jurisdiction dismissing the plaintiff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appeal to the High Court against the judgment of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District Court dismissing the plaintiff appellant’s action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against the defendant respondent.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defendant-respondent is the youngest daughter of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Plaintiff-appellant (hereinafter called the appellant). 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11.3.1999, by a Deed of Gift the appellant gifted premises No.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11A, Mahasen Mawatha, Thimbirigasyaya Road, Colombo 5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defendant. That is the house where the appellant lived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 her husband and the defendant. This gift is subject to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life interest of the appellant and her husband to that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property. On 12.3.1999, the day after the execution of the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deed of gift, the defendant married one Sanjeewa Perera.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appellant,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couple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continued to live in that house.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28.09.2005,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7402/Spl in the District Court of Colombo to revoke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 of Gift execution in favour of the defendant on the basis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gross ingratitude on the part of the donee, the defendant.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 to the plaint fled in the District Court, some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time after the marriage, the defendant’s conduct gradually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changed and she began to request the appellant to relinquish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appellant’s and her husband’s life interest in the prop-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erty and demand that they should vacate the property giving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possession thereof to the defendant, The appellant, among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other reliefs, has prayed for judgment and decree revoking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Deed of Gift No. 2603 dated 11.3.1999.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defendant who appeared in the District Court on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summons has obtained two dates to fle answer. When an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application was made for a further date to fle answer,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District Judge has refused to grant further time for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98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Ariyawathie Meemaduma V. Jeewani Budhika Meemaduma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127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answer and fxed the case for ex parte trial, which took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 later on 20.02.2006. The appellant testifed at the trial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and marked and produced, among other documents, the Deed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Gift P2, and certifed copies of two complaints made by her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husband to the Narahenpita Police, P4A and P4B. With her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the plaintiff has closed her case.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District Judge, after considering the evi-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dence given by the appellant and the documents produced by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has come to the conclusion that the appellant has failed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establish any ground on which a donor is entitled in law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revoke a Deed of Gift. Accordingly he has dismissed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action.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perusal of the judgment of the learned District Judge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indicates  that  he  was  aware  of  the  grounds  on  which  a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deed of gift could be revoked and that he had taken into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consideration the contents of the documents P4A and P4B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(certifed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copies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Narahenpita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by the appellant’s husband) in assessing the evidence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appellant. The learned trial Judge has also expressed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view that the deed of gift had been given to the defendant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contemplation of her marriage, but this was not a ground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upon which he has based his decision to dismiss the action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appellant.</w:t>
      </w:r>
    </w:p>
    <w:p>
      <w:pPr>
        <w:spacing w:before="24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appeal fled by the plaintiff appellant against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judgment of the District Court was dismissed by the Civil</w:t>
      </w:r>
    </w:p>
    <w:p>
      <w:pPr>
        <w:spacing w:before="49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Appellate High Court. The judgment of the High Court indicates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agreed with the view expressed by the trial judge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had failed to establish any ground on which it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permissible  in law to revoke a deed of gift. The High Court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deed  of  gift  sought  to  be  revoked  had  been  given 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contemplation of the defendant’s marriage, has stated, that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contemplation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marriage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revocable if the contemplated marriage had in fact taken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considering the application fled by the appellant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seeking leave to appeal against the judgment of the High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this Court has granted leave to appeal to the appellant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following questions of law except question No. (b).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Did the High Court err by failing to consider/appreciate</w:t>
      </w:r>
    </w:p>
    <w:p>
      <w:pPr>
        <w:spacing w:before="57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petitioner’s oral testimony in the District Court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Colombo remained uncontroverted and undisputed?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High Court err by completely failing to consider/</w:t>
      </w:r>
    </w:p>
    <w:p>
      <w:pPr>
        <w:spacing w:before="57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appreciate that the reservation of the life interest of the</w:t>
      </w:r>
    </w:p>
    <w:p>
      <w:pPr>
        <w:spacing w:before="57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 and her husband in the said property was a</w:t>
      </w:r>
    </w:p>
    <w:p>
      <w:pPr>
        <w:spacing w:before="57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condition attached to the gift and the breach or inter-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ference with the said condition was tantamount to gross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ingratitude?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High Court err by failing to appreciate that there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suffcient documentary and oral evidence to substan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tiate the petitioner’s claim of gross ingratitude on the part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respondent?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Did the High Court err by failing to appreciate/consider</w:t>
      </w:r>
    </w:p>
    <w:p>
      <w:pPr>
        <w:spacing w:before="57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when the life interest in a property is reserved, the</w:t>
      </w:r>
    </w:p>
    <w:p>
      <w:pPr>
        <w:spacing w:before="57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donation of that property cannot be in consideration of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marriage (donation propter nuptias)?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 the  High  Court  err  by  misdirecting  itself  and/or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misconstruing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and/or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completely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judgment  of  Your  Lordships’  Court  in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Dona Podi-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98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Ariyawathie Meemaduma V. Jeewani Budhika Meemaduma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129</w:t>
      </w:r>
    </w:p>
    <w:p>
      <w:pPr>
        <w:spacing w:before="297" w:line="213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nona Ranaweera Menike v. Rohini Senanayake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1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the appellant relied on in support of her case?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(g)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 the  Court  err  by  failing  to  properly  construe 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and marked in evidence at the trial?</w:t>
      </w:r>
    </w:p>
    <w:p>
      <w:pPr>
        <w:spacing w:before="2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(h)  Did the High Court err by failing to consider that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occasions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renounce her life interest in the said property?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the High Court err by failing to appreciate that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 of the respondent (and her husband) towards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 as demonstrated by the petitioner’s evidence,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constituted gross ingratitude?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(j)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Did the High Court err by failing to appreciate/consider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  if  the  learned  trial  Judge  had  any  doubts  with</w:t>
      </w:r>
    </w:p>
    <w:p>
      <w:pPr>
        <w:spacing w:before="4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regard to the truth or veracity of the testimony of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  he  could  have  clarifed  the  same  from  the</w:t>
      </w:r>
    </w:p>
    <w:p>
      <w:pPr>
        <w:spacing w:before="4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under and in terms of sections 164 and 165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Civil  Procedure  Code  as  well  as  under  section</w:t>
      </w:r>
    </w:p>
    <w:p>
      <w:pPr>
        <w:spacing w:before="4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165 of the Evidence Ordinance, but chose not to do so</w:t>
      </w:r>
    </w:p>
    <w:p>
      <w:pPr>
        <w:spacing w:before="4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therefore, cannot subsequently fnd fault with her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testimony?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(k)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High Court err by holding that the petitioner has</w:t>
      </w:r>
    </w:p>
    <w:p>
      <w:pPr>
        <w:spacing w:before="4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demonstrated even a single act of gross ingratitude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part of the respondent?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learned  counsel  for  the  appellant  has  submitted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written submissions in support of the appeal with copies of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several judgments dealing with the subject of revocation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deeds of gift.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frst question of law on which leave to appeal was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granted is “Did the High Court err by failing to consider/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appreciate that the petitioner’s oral testimony in the District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of Colombo remained uncontroverted and undisputed?”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the ex parte trial, there was no cross-examination of the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appellant. There was no other witness testifying at the trial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on behalf of the appellant. However it has to be borne in mind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contradictions of the oral testimony of a single witness,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cross examined by the adverse party can emerge even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from the contents of the documents produced by the sole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witness himself at the trial. In this case this Court has to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whether the appellant’s oral evidence in the District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remains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uncontradicted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contents of documents 4A and 4B produced by the appellant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herself  when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gave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trial.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that question I shall briefy set out the oral evidence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 by the appellant in the District Court.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her oral testimony the appellant has stated that after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marriage her daughter’s (the defendant’s) conduct gradually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changed. The defendant very often troubled the appellant and</w:t>
      </w:r>
    </w:p>
    <w:p>
      <w:pPr>
        <w:spacing w:before="3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her husband requesting them to relinquish their life interest in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and vacate the house and hand over possession</w:t>
      </w:r>
    </w:p>
    <w:p>
      <w:pPr>
        <w:spacing w:before="3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the property to her. The defendant neglected to look after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and she (the appellant) sustained herself with her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 pension.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threatened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defendant’s husband. Even death threats were made to the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appellant by the defendant and her husband. The daugh-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ter and the son in law made such threats and asked them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relinquish their rights to the property and hand it over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the defendant. On 17.08.2005, the appellant’s husband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complained of this to the Narahenpita police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(A certifed copy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that complaint was produced marked 4A)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98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Ariyawathie Meemaduma V. Jeewani Budhika Meemaduma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131</w:t>
      </w:r>
    </w:p>
    <w:p>
      <w:pPr>
        <w:spacing w:before="35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appellant has further stated that even thereafter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were death threats to her and to her husband from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husband.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threats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Narahenpita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28.08.2005. (a copy of the complaint was produced marked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4B)  The  appellant  has  concluded  her  evidence  by  saying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her daughter did not look after them and had brought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pressure on them to relinquish their life interest and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the defendant was guilty of gross ingratitude.</w:t>
      </w:r>
    </w:p>
    <w:p>
      <w:pPr>
        <w:spacing w:before="247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What is stated above was the evidence on which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claimed a decree revoking the deed of gift.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back ground of the evidence given by the appellant it is now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opportune  to  examine  the  contents  of  P4A  and  P4B, 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complaints made by her husband.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that  statement,  the  husband  of  the  appellant  has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stated that in order to admit a son of their son to a school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they inquired from their daughter (the defendant) whether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 could re-convey the property (donated to her by the deed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gift) and the daughter agreed to re-convey the property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appellant. However the daughter’s husband objected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this and attempted to assault them. They said that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house belonged to them and that they would not give it back.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son in law threatened that he would kill the son of the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appellant and serve six years in jail and come out. They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demanded Rs. Five million to re-convey the property. After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this incident the daughter and the son in law left the house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following day. (i.e. 17.08.2005)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 to this statement of the appellant’s husband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trouble commenced when they requested the daughter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re-convey the property to them to enable them to facilitate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 son to admit his child to a school. In document 4A there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no allegation whatsoever that the defendant on her own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initiative asked the parents to relinquish their life interest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property. Their alleged demand for Rs. fve million to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re-convey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daughter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re-convey the property to the appellant. In the whole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P4A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daughter ever threatened to kill her parents if the life interest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not relinquished.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contents of P4A completely cuts across the evidence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appellant who, in her evidence had tried to make out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troubles between her and her daughter arose as a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 of the daughter’s persistent requests  that the parents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should relinquish their life interest in the property gifted to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her.</w:t>
      </w:r>
    </w:p>
    <w:p>
      <w:pPr>
        <w:spacing w:before="24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According to the police complaint marked P4B, on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night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25.8.2005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husband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received three anonymous telephone calls threatening that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their son would be killed. The caller was not identifed. In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 event the death threat made by the phone was that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son would be killed. No threat was made regard-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lives of the appellant and her husband.</w:t>
      </w:r>
    </w:p>
    <w:p>
      <w:pPr>
        <w:spacing w:before="24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contents of document P4A completely cuts across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appellant’s evidence given in the District Court and it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contradicts her evidence to the fullest possible extent. I do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know why the appellant has produced document P4A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evidence, but by producing it, the appellant has, perhaps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unconsciously, let the cat out of the bag!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light  of  the  contents  of  P4A,  no  one  can  say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appellant’s evidence in the District Court stands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uncontradicted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uncontroverted.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98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Ariyawathie Meemaduma V. Jeewani Budhika Meemaduma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133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specifcally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different version given in document P4A with regard to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manner in which the dispute between the parties arose.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Judges of the Civil Appellate High Court have quoted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approval the learned District Judge’s observations with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 different version given in document P4A.</w:t>
      </w:r>
    </w:p>
    <w:p>
      <w:pPr>
        <w:spacing w:before="247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 deed of gift is absolute and irrevocable. That is the rule.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However the law has recognized certain exceptions to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of irrevocability. A party applying to Court to invoke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satisfy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cogent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evidence, that the court would be justifed in invoking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exception in favour of the party applying for the same.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case even if the appellant’s evidence in the District Court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considered alone (without any reference to the contents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documents P4A and P4B) her evidence falls short of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standard of proof required to invoke any recognized excep-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to defeat the rule of irrevocability. A mere ipse dixit like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“he threatened to kill me” is not suffcient to discharge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burden.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the appellant’s evidence given in the District Court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is viewed in the light of the contents of P4A, the position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worse. The contents of P4A casts serious doubts on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truthfulness of the evidence given by the appellant. On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available in this case, no reasonable judge, properly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directed on the law relating to the burden of proof which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rested on the appellant, could have given a decision in favour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the appellant. The conclusion of the learned trial Judge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Civil Appellate High Court that the appellant has failed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 her case is therefore correct in law.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appears to me that questions of law (a),(c),(d),(g),(h)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and (k) on which leave to appeal has been granted have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been framed on a misapprehension of the strength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 case presented to the District Co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urt. I answer all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 questions in the negative.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regard to questions No. (e) and (f) it is suffcient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 that the appellant’s case had been dismissed not on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 that the deed of gift is irrevocable but on the basis that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appellant has failed to prove the ground relied upon by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to revoke the deed of gift.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question No(j), it is suffcient to state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sections 164 and 165 of the Civil Procedure Code and section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165 of the Evidence Ordinance do not require a judge to step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to fll the gaps of a case presented by a party. I accordingly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that question in the negative. In the result I dismiss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appeal.</w:t>
      </w:r>
    </w:p>
    <w:p>
      <w:pPr>
        <w:spacing w:before="247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rAtnAyAkE J. 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162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EkAnAyAkE J. 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8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Madawachchiya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135</w:t>
      </w:r>
    </w:p>
    <w:p>
      <w:pPr>
        <w:spacing w:before="813" w:line="210" w:lineRule="exact"/>
        <w:ind w:left="2011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MULTI PURPOSE CO-OPERATIVE SOCIETY,</w:t>
      </w:r>
    </w:p>
    <w:p>
      <w:pPr>
        <w:spacing w:before="20" w:line="210" w:lineRule="exact"/>
        <w:ind w:left="1474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MADAWACHCHIYA VS. KIRIMUDIYANSE AND OTHERS</w:t>
      </w:r>
    </w:p>
    <w:p>
      <w:pPr>
        <w:spacing w:before="5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RANJIT SILvA.J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LECAMWASAM.J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(PHC) 189/04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ANURADHAPURA 55/2002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4, 2010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DECEMBER 10, 2010</w:t>
      </w:r>
    </w:p>
    <w:p>
      <w:pPr>
        <w:spacing w:before="248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Writ of Certiorari - Constitution Article 140 - Court of Appeal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(Appellate Procedure) Rules of 1990-91- Affdavit mandatory -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Defective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affdavit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there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valid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writ?-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Buddhist not affrming - Oaths and Affrmation Ordinance No. 9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of 1985 Civil Procedure Code - Section 438 - Judicial review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available - Fair hearing</w:t>
      </w:r>
    </w:p>
    <w:p>
      <w:pPr>
        <w:spacing w:before="18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Respondent-Petitioner fled a writ application in the High Court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seeking mandates in the nature of Certiorari/Mandamus to quash the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disciplinary fndings of the Co-operative Employees Commission and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Society. The High Court granted the reliefs prayed for. The respon-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dents appealed to the Court of Appeal.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appellant contended that there was no valid writ application before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High Court as the deponent had not ‘affrmed’- (this was not raised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before the High Court). The appellant further contended that there was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undue delay in presenting the writ application to the High Court. It was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also contended that in any event no writ lies as it is a simple master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servant contract.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Ranjith Silva.J</w:t>
      </w:r>
    </w:p>
    <w:p>
      <w:pPr>
        <w:spacing w:before="18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“On a consideration of the impugned affdavit I fnd that the provi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sions of Section 438 of the Civil Procedure Code have been complied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with. The jurat expressly sets out the place and the date on which the</w:t>
      </w:r>
    </w:p>
    <w:p>
      <w:pPr>
        <w:spacing w:before="3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affdavit was signed. The affdavit has been signed before a Justice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Peace. T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here is specifc reference in the jurat that the affdavit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duly signed by the deponent after having read and understood the</w:t>
      </w:r>
    </w:p>
    <w:p>
      <w:pPr>
        <w:spacing w:before="3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contents.”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There is no magic in the word “affrm”. A particular word should</w:t>
      </w:r>
    </w:p>
    <w:p>
      <w:pPr>
        <w:spacing w:before="3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not  be allowed to vitiate or invalidate an affdavit which is other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wise regular on the face of it. The words solemnly sincerely and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truly connote that the deponent is publicly admitting the truth of</w:t>
      </w:r>
    </w:p>
    <w:p>
      <w:pPr>
        <w:spacing w:before="3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contents in the most responsible manner. The absence of a</w:t>
      </w:r>
    </w:p>
    <w:p>
      <w:pPr>
        <w:spacing w:before="38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particular word “affrm” referred to in the statute cannot and</w:t>
      </w:r>
    </w:p>
    <w:p>
      <w:pPr>
        <w:spacing w:before="3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should not be allowed to stand in the way of justice. The words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must be given a purposive and meaningful construction instead of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trying to split hairs on technicalities.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Ranjith Silva. J: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“The rationale is that the fundamental obligation of a deponent</w:t>
      </w:r>
    </w:p>
    <w:p>
      <w:pPr>
        <w:spacing w:before="3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is to tell the truth and the purpose of an oath or affrmation is to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enforce that obligation”.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Delay/laches of a party does not bestow a right or privilege on the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 to indulge in delay/laches but it is not ethical, proper, just</w:t>
      </w:r>
    </w:p>
    <w:p>
      <w:pPr>
        <w:spacing w:before="3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or fair to allow the appellant to rely on the delay on the part of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in fling the writ application, when they themselves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delayed for more that 21 years in framing charges and proceeding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 the respondent.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Remedy of judicial review is available where an issue of public</w:t>
      </w:r>
    </w:p>
    <w:p>
      <w:pPr>
        <w:spacing w:before="3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law is involved. It is not correct to assume that there is no pub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lic law element in an ordinary relationship of master and servant</w:t>
      </w:r>
    </w:p>
    <w:p>
      <w:pPr>
        <w:spacing w:before="3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that accordingly in such a case judicial review would not be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available.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Parliament can underpin the position of public authority employees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directly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restricting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freedom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authority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dismiss,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thus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giving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employee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least</w:t>
      </w:r>
    </w:p>
    <w:p>
      <w:pPr>
        <w:spacing w:before="38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making him a potential candidate for administrative law remedies.</w:t>
      </w:r>
    </w:p>
    <w:p>
      <w:pPr>
        <w:spacing w:before="2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investigation team determined that it was not necessary for</w:t>
      </w:r>
    </w:p>
    <w:p>
      <w:pPr>
        <w:spacing w:before="38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respondent to lead evidence and thereafter had prevented</w:t>
      </w:r>
    </w:p>
    <w:p>
      <w:pPr>
        <w:spacing w:before="3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him from leading any evidence - this is a blatant violation of the</w:t>
      </w:r>
    </w:p>
    <w:p>
      <w:pPr>
        <w:spacing w:before="3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Petitioner’s right to a fair hearing.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8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Madawachchiya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137</w:t>
      </w:r>
    </w:p>
    <w:p>
      <w:pPr>
        <w:spacing w:before="36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Anuradhapura.</w:t>
      </w:r>
    </w:p>
    <w:p>
      <w:pPr>
        <w:spacing w:before="2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 referred to:-</w:t>
      </w:r>
    </w:p>
    <w:p>
      <w:pPr>
        <w:spacing w:before="14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Chandrawathie vs. Dharmaratne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2001 BLR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Ratwatte vs. Thilanga Sumathipala 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2001 1 Sri LR 55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Imaya vs. Orix Leasing Co.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1999 3 Sri LR 197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Gamage Palitha Wickramasiri vs. Pathirannahalage Nandawathie</w:t>
      </w:r>
    </w:p>
    <w:p>
      <w:pPr>
        <w:spacing w:before="3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 another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312/91 (F)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 Silva vs. L.B. Finance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1993 1 Sri LR 371 (distinguished)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Rustomjee vs. Khan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(1914) 18 NLR 120 at 123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Mohamed vs. Jayaratne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2002 3 Sri LR 181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Kaluthanthrige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John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Patric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Kaluthanthrige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Mercy</w:t>
      </w:r>
    </w:p>
    <w:p>
      <w:pPr>
        <w:spacing w:before="3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CALA 290/2002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Issadeen vs. Commissioner of National Housing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2003  2</w:t>
      </w:r>
    </w:p>
    <w:p>
      <w:pPr>
        <w:spacing w:before="3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LR 10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Lanka Diamond (Pvt.) Ltd vs.Wilfred Vanell and two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1997 1</w:t>
      </w:r>
    </w:p>
    <w:p>
      <w:pPr>
        <w:spacing w:before="3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LR 360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Malloch vs. Aberdeen Corporation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1971 1 WLR 1578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Koralagamage vs. Commander of the Army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2003 3 Sri LR 169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Ratnayake vs. Ekanayake, Commissioner General of Excise and</w:t>
      </w:r>
    </w:p>
    <w:p>
      <w:pPr>
        <w:spacing w:before="3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2002 2 Sri LR 299</w:t>
      </w:r>
    </w:p>
    <w:p>
      <w:pPr>
        <w:spacing w:before="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Lanka Loha Holdings (Pvt.) Ltd vs. Attorney 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2002 3 Sri LR</w:t>
      </w:r>
    </w:p>
    <w:p>
      <w:pPr>
        <w:spacing w:before="3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29</w:t>
      </w:r>
    </w:p>
    <w:p>
      <w:pPr>
        <w:spacing w:before="155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Pubudu Alwis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respondent-appellant</w:t>
      </w:r>
    </w:p>
    <w:p>
      <w:pPr>
        <w:spacing w:before="23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P.K. Prince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Petitioner-respondent</w:t>
      </w:r>
    </w:p>
    <w:p>
      <w:pPr>
        <w:spacing w:before="47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10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rAnJitH SiLvA, J.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Respondent hereinafter referred to as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fled a writ application in the Provincial High Court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Anuradhapura seeking mandates in the nature of a Writ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Certiorari and a Writ of Mandamus to quash the disci-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plinary fndings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Appellant, who shall hereinafter be referred to as the Appellant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to compel the Appellant to pay his entitlements including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arrears of salary.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arguments the Learned High Court Judge by his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dated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March 2004 granted relief to the</w:t>
      </w:r>
    </w:p>
    <w:p>
      <w:pPr>
        <w:spacing w:before="1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as prayed for in the petition. Being aggrieved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judgment the Appellant has preferred this appeal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Court.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the stage of arguments and in their written submis-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sions  as  well,  the  Appellant  relied  on  several  grounds 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 Some of them are;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valid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 High Court of Anuradhapura,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there was undue delay in fling the writ application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High Court,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there was suppression of facts,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Petitioner had not acted with uberima fdes,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Petitioner had no capacity to invoke writ jurisdic-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</w:t>
      </w:r>
    </w:p>
    <w:p>
      <w:pPr>
        <w:spacing w:before="170" w:line="246" w:lineRule="exact"/>
        <w:ind w:left="1474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 valid writ application before the Provincial High</w:t>
      </w:r>
    </w:p>
    <w:p>
      <w:pPr>
        <w:spacing w:before="5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170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objection was not urged in the High Court when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matter was argued in that court. For the frst time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 has put forward this argument in this court. In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their written submissions as well as oral submission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comply with rule 3 (1) of the Court of Appeal (Appellate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8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Madawachchiya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139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Procedure) Rules of 1990 made by the Supreme Court and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published in the government gazette number 645/4 dated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January 1991 wherein it is laid down that in order to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invoke the writ jurisdiction of the Court of Appeal granted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140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141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 shall  be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  of  petition  supported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affdavit.</w:t>
      </w:r>
    </w:p>
    <w:p>
      <w:pPr>
        <w:spacing w:before="24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 contended  that  fling  of  an  affdavit  was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mandatory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defective and therefore there was no valid affdavit in the eye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law and thus there was no valid application for writ in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High Court. The contention of the Appellant is that the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being a Buddhist has not affrmed to, either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head/ recital of the affdavit or in the jurat, in other words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affdavit fled of record has not been properly affrmed to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deponent (Petitioner) as required in terms of section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5 of the Oaths and Affrmations Ordinance No. 09 of 1895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 to which a Buddhist has to affrm to the contents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an affdavit. In support of his contention the Appellant has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cited the following authorities.</w:t>
      </w:r>
    </w:p>
    <w:p>
      <w:pPr>
        <w:spacing w:before="1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Chandrawathie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Dharmaratne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held that if the affrmation is not in the head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affdavit or the jurat clause it is defective and is fatal.</w:t>
      </w:r>
    </w:p>
    <w:p>
      <w:pPr>
        <w:spacing w:before="1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Clifford</w:t>
      </w:r>
      <w:r>
        <w:rPr>
          <w:sz w:val="21"/>
          <w:szCs w:val="21"/>
          <w:rFonts w:ascii="Bookman Old Style" w:hAnsi="Bookman Old Style" w:cs="Bookman Old Style"/>
          <w:color w:val="231f20"/>
          <w:spacing w:val="-25"/>
        </w:rPr>
        <w:t xml:space="preserve"> </w:t>
      </w: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Ratwatte Vs Thilanga Sumathipala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 if the deponent states that he is a Christian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affrms the affdavit instead of swearing, the affdavit is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defective.</w:t>
      </w:r>
    </w:p>
    <w:p>
      <w:pPr>
        <w:spacing w:before="1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Inaya Vs Orix Leasing Co.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affdavit before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 the defendant being a Muslim had failed to solemnly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sincerely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truly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averments set out in the affdavit. The recital merely states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they make a declaration and in the jurat there is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reference as to whether the purported affdavit was sworn to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 affrmed. It was held that although technicalities should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not be allowed to stand in the way of justice the basic require-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ments of the law must be fulflled.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either been oblivious to this argument of the Appellant or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conveniently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avoided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same.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grounds of appeal taken by the Appellant I am of the view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the only substantial argument that has been taken by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which deserves the attention of this court.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rest of the grounds of appeal urged by the Appellant pose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problem as they could be disposed of comfortably as I fnd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merit in any of them. Yet I would be dealing with every one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 succinctly in chapters to follow.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Gamage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Palitha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Wickramasiri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Pathirannahelage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Nandawathie 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Weerasuriya, J. having referred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discussed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fully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namely SS 168, 181, 182, 437 and 438 with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 to the reception of evidence of witnesses professing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 religions held that the same shall apply to evidence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well.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authorities including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 Silva vs L.B.Finance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that</w:t>
      </w:r>
    </w:p>
    <w:p>
      <w:pPr>
        <w:spacing w:before="1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 was a failure on the part of the deponent to comply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with the requirement in terms of section 168 of the Civil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 Code  as  the  deponent,  being  a  Christian,  had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affrmed to the matters in the affdavit. It is to be observed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L.B.Finance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above, the affdavit was somewhat in line with the impugned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affdavit in the instant matter before us. With great respect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those eminent judges I’m reluctantly compelled to disagree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them for the following reasons.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