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5" w:line="200" w:lineRule="exact"/>
        <w:ind w:left="2980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6</w:t>
      </w:r>
    </w:p>
    <w:p>
      <w:pPr>
        <w:spacing w:before="153" w:line="200" w:lineRule="exact"/>
        <w:ind w:left="3402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141 - 168</w:t>
      </w:r>
    </w:p>
    <w:p>
      <w:pPr>
        <w:spacing w:before="28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3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Co. Printers (Private) Ltd.</w:t>
      </w:r>
    </w:p>
    <w:p>
      <w:pPr>
        <w:spacing w:before="16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36" w:line="19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CONSTITUTION –</w:t>
      </w:r>
      <w:r>
        <w:rPr>
          <w:b w:val="true"/>
          <w:sz w:val="16"/>
          <w:szCs w:val="16"/>
          <w:rFonts w:ascii="Arimo" w:hAnsi="Arimo" w:cs="Arimo"/>
          <w:color w:val="231f20"/>
          <w:spacing w:val="-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Infringement of fundamental rights - Article 12[1] – Right to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158</w:t>
      </w:r>
    </w:p>
    <w:p>
      <w:pPr>
        <w:spacing w:before="49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equality – Article 126 – Fundamental rights jurisdiction and its exercise</w:t>
      </w:r>
    </w:p>
    <w:p>
      <w:pPr>
        <w:spacing w:before="151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Geethika And Two Others  V. Dissanayaka And Five Others</w:t>
      </w:r>
    </w:p>
    <w:p>
      <w:pPr>
        <w:spacing w:before="277" w:line="20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EVIDENCE</w:t>
      </w:r>
      <w:r>
        <w:rPr>
          <w:b w:val="true"/>
          <w:sz w:val="16"/>
          <w:szCs w:val="16"/>
          <w:rFonts w:ascii="Arimo" w:hAnsi="Arimo" w:cs="Arimo"/>
          <w:color w:val="231f20"/>
          <w:spacing w:val="112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ORDINANCE</w:t>
      </w:r>
      <w:r>
        <w:rPr>
          <w:b w:val="true"/>
          <w:sz w:val="16"/>
          <w:szCs w:val="16"/>
          <w:rFonts w:ascii="Arimo" w:hAnsi="Arimo" w:cs="Arimo"/>
          <w:color w:val="231f20"/>
          <w:spacing w:val="112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b w:val="true"/>
          <w:sz w:val="16"/>
          <w:szCs w:val="16"/>
          <w:rFonts w:ascii="Arimo" w:hAnsi="Arimo" w:cs="Arimo"/>
          <w:color w:val="231f20"/>
          <w:spacing w:val="1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sz w:val="16"/>
          <w:szCs w:val="16"/>
          <w:rFonts w:ascii="Arimo" w:hAnsi="Arimo" w:cs="Arimo"/>
          <w:color w:val="231f20"/>
          <w:spacing w:val="1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68</w:t>
      </w:r>
      <w:r>
        <w:rPr>
          <w:sz w:val="16"/>
          <w:szCs w:val="16"/>
          <w:rFonts w:ascii="Arimo" w:hAnsi="Arimo" w:cs="Arimo"/>
          <w:color w:val="231f20"/>
          <w:spacing w:val="1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sz w:val="16"/>
          <w:szCs w:val="16"/>
          <w:rFonts w:ascii="Arimo" w:hAnsi="Arimo" w:cs="Arimo"/>
          <w:color w:val="231f20"/>
          <w:spacing w:val="1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Proof</w:t>
      </w:r>
      <w:r>
        <w:rPr>
          <w:sz w:val="16"/>
          <w:szCs w:val="16"/>
          <w:rFonts w:ascii="Arimo" w:hAnsi="Arimo" w:cs="Arimo"/>
          <w:color w:val="231f20"/>
          <w:spacing w:val="1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1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execution</w:t>
      </w:r>
      <w:r>
        <w:rPr>
          <w:sz w:val="16"/>
          <w:szCs w:val="16"/>
          <w:rFonts w:ascii="Arimo" w:hAnsi="Arimo" w:cs="Arimo"/>
          <w:color w:val="231f20"/>
          <w:spacing w:val="1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149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documents</w:t>
      </w:r>
      <w:r>
        <w:rPr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required</w:t>
      </w:r>
      <w:r>
        <w:rPr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by</w:t>
      </w:r>
      <w:r>
        <w:rPr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law</w:t>
      </w:r>
      <w:r>
        <w:rPr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to</w:t>
      </w:r>
      <w:r>
        <w:rPr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be</w:t>
      </w:r>
      <w:r>
        <w:rPr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attested</w:t>
      </w:r>
      <w:r>
        <w:rPr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Manner</w:t>
      </w:r>
      <w:r>
        <w:rPr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proving</w:t>
      </w:r>
    </w:p>
    <w:p>
      <w:pPr>
        <w:spacing w:before="32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such documents – Prevention of Frauds Ordinance – Section 2 and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Section 4 – Deeds affecting immovable property to be executed before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 notary and two witnesses.</w:t>
      </w:r>
    </w:p>
    <w:p>
      <w:pPr>
        <w:spacing w:before="153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Samarakoon v. Gunasekera and Another</w:t>
      </w:r>
    </w:p>
    <w:p>
      <w:pPr>
        <w:spacing w:before="321" w:line="162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WRIT</w:t>
      </w:r>
      <w:r>
        <w:rPr>
          <w:b w:val="true"/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OF</w:t>
      </w:r>
      <w:r>
        <w:rPr>
          <w:b w:val="true"/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CERTIORARI</w:t>
      </w:r>
      <w:r>
        <w:rPr>
          <w:b w:val="true"/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b w:val="true"/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Constitution Article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140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 Appeal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141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(Appellate Procedure) Rules of 1990-91- Affdavit mandatory - Defective</w:t>
      </w:r>
    </w:p>
    <w:p>
      <w:pPr>
        <w:spacing w:before="31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affdavit - Is there a valid application for writ?- Buddhist not affrming -</w:t>
      </w:r>
    </w:p>
    <w:p>
      <w:pPr>
        <w:spacing w:before="32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Oaths and Affrmation Ordinance No. 9 of 1985 Civil Procedure Code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- Section 438 - Judicial review available - Fair hearing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Multi Purpose Co-operative Society, Madawachchiya vs.</w:t>
      </w:r>
    </w:p>
    <w:p>
      <w:pPr>
        <w:spacing w:before="31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Kirimudiyanse and others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from Part 5)</w:t>
      </w:r>
    </w:p>
    <w:p>
      <w:pPr>
        <w:spacing w:before="31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19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Multi Purpose Co-operative Society, Medawachchiya vs. Kirimudiyanse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4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141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 Silva and Others Vs. L.B.Finance Ltd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impugned affdavit at the commencement or in the recital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contained the following words “being a Buddhist do hereby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solemnly sincerely and truly declare and affrm”. The jurat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said affdavit contained the words “within named affr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ment” instead of the transitive verb ‘affrmed’. Thus the word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affrms was wanting only in the jurat but was present in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recital. In that case His Lordship Justice G.P.S. De Silva held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 fair meaning that could be given to those words is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the deponent had affrmed to the contents of the affda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vit, before the Justice of the peace.</w:t>
      </w:r>
    </w:p>
    <w:p>
      <w:pPr>
        <w:spacing w:before="24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other words his Lordship held that it was not neces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sary to mention the word affrms in the jurat if that word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was found in the body of the affdavit such as the recital to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affdavit. His Lordship endeavoured in that case to give a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constructive meaning to the words contained in the affdavit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 in the absence of the precise word affrm in the jurat. It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true that in that case the word affrms was at least found in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recital of the affdavit. In the instant case the word affrm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found nowhere neither in the recital nor in the jurat.</w:t>
      </w:r>
    </w:p>
    <w:p>
      <w:pPr>
        <w:spacing w:before="24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 fnd that there is no magic in the word affrm. It means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according to the Oxford Advanced Learner’s Dictionary “ to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state frmly or publicly that sth is true or that you support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sth strongly.” The impugned affdavit at the commencement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in its recital states</w:t>
      </w:r>
      <w:r>
        <w:rPr>
          <w:sz w:val="21"/>
          <w:szCs w:val="21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pacing w:val="23"/>
          <w:sz w:val="21"/>
          <w:szCs w:val="21"/>
          <w:rFonts w:ascii="Leelawadee UI Semilight" w:hAnsi="Leelawadee UI Semilight" w:cs="Leelawadee UI Semilight"/>
          <w:color w:val="231f20"/>
        </w:rPr>
        <w:t xml:space="preserve">fn!oaOd.ñlhl= jYfhka wjxlj;a" i;H</w:t>
      </w:r>
    </w:p>
    <w:p>
      <w:pPr>
        <w:spacing w:before="84" w:line="217" w:lineRule="exact"/>
        <w:ind w:left="1077"/>
      </w:pPr>
      <w:r>
        <w:rPr>
          <w:spacing w:val="14"/>
          <w:sz w:val="21"/>
          <w:szCs w:val="21"/>
          <w:rFonts w:ascii="Leelawadee UI Semilight" w:hAnsi="Leelawadee UI Semilight" w:cs="Leelawadee UI Semilight"/>
          <w:color w:val="231f20"/>
        </w:rPr>
        <w:t xml:space="preserve">f,i;a" .dïNSr;d mQ¾jlj;a - m%;s× § m%ldY lr isák j.kï</w:t>
      </w:r>
    </w:p>
    <w:p>
      <w:pPr>
        <w:spacing w:before="24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Translated into English it means “being a Buddhist I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solemnly sincerely and truly declare and state.” Neither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Jurat nor the body of the affdavit contains the word affrm.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Jurat of the impugned affdavit contained the date and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place of attestation and the fact that the deponent 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signing the same having read and understood the contents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affdavit. What is wanting in the affdavit is the precise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word ‘affrm’.”</w:t>
      </w:r>
    </w:p>
    <w:p>
      <w:pPr>
        <w:spacing w:before="23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a consideration of the impugned affdavit I fnd that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provisions of section 438 of the Civil Procedure Code have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been complied with. The Jurat expressly sets out the place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the date on which the affdavit was signed. The affdavit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 been  signed  before  a  Justice  of  the  Peace.  There  is</w:t>
      </w:r>
    </w:p>
    <w:p>
      <w:pPr>
        <w:spacing w:before="41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specifc reference in the jurat that the affdavit was duly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signed by the deponent after having read and understood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contents. The contention that the affdavit is invalid is based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the absence of the word affrm in the jurat or in the body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affdavit.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Catholic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swear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41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affdavit that might be a different kettle of fsh altogether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because swearing becomes very important and most signif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cant to a Catholic who believes in Almighty God. i.e. I swear</w:t>
      </w:r>
    </w:p>
    <w:p>
      <w:pPr>
        <w:spacing w:before="4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by the Almighty God that I will tell the truth. A mere assertion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statement or affrmation may not suffce for the purpose of</w:t>
      </w:r>
    </w:p>
    <w:p>
      <w:pPr>
        <w:spacing w:before="41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executing a valid affdavit as far as a Catholic, Christian or a Jew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concerned.</w:t>
      </w:r>
      <w:r>
        <w:rPr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(Edussuriya, J. in Clifford Ratwatte V Thilanga</w:t>
      </w:r>
    </w:p>
    <w:p>
      <w:pPr>
        <w:spacing w:before="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Sumathipala and Others)(supra)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 in the case of a deponent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 a Buddhist this question does not arise.</w:t>
      </w:r>
    </w:p>
    <w:p>
      <w:pPr>
        <w:spacing w:before="23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 cannot understand why a Buddhist cannot believe in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God or Gods. Perera, J. in</w:t>
      </w:r>
      <w:r>
        <w:rPr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Rustomjee Vs Khan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12"/>
          <w:szCs w:val="12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123 held</w:t>
      </w:r>
    </w:p>
    <w:p>
      <w:pPr>
        <w:spacing w:before="13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the use of the word “may” in the Oaths Ordinance of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1895, instead of “shall”, must be regarded as deliberate; with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consequences, non-Christians who believe in God would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the option to swear or to affrm.</w:t>
      </w:r>
    </w:p>
    <w:p>
      <w:pPr>
        <w:spacing w:before="24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Buddhism is a philosophy and a religion. In any case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where a deponent solemnly sincerely and truly state some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19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Multi Purpose Co-operative Society, Medawachchiya vs. Kirimudiyanse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4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143</w:t>
      </w:r>
    </w:p>
    <w:p>
      <w:pPr>
        <w:spacing w:before="3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thing in his affdavit with responsibility, a particular word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should not be allowed to play tricks or stand in the way of</w:t>
      </w:r>
    </w:p>
    <w:p>
      <w:pPr>
        <w:spacing w:before="4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justice and fair play.  A particular word should not be allowed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vitiate or invalidate an affdavit which is otherwise  regular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on the face of it. The words solemnly sincerely and truly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connotes that the deponent is publicly admitting the truth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contents in the most responsible manner. The absence of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particular word namely the word ‘affrm’ referred to in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statute cannot and should not be allowed to stand in the way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justice. The words must be given a purposive and mean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ingful construction instead of trying to split hairs on techni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calities.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Mohamed Vs Jayaratne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33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rationale in the above quoted judgments is that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 obligation of a deponent is to tell the truth 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purpose of an oath or affrmation is to enforce that obliga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tion. Therefore the substitution of an oath for an affrmation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or vice versa will not invalidate an affdavit or on the other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hand by reading the affdavit as a whole if a fair meaning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could be given to the words used in the affdavit that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deponent has affrmed to the contents of the affdavit before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Justice of the Peace then it could be construed that there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suffcient compliance with the requirement of an affdavit.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H/L Hon. S. Srikandarajah, J. in Kalutanthrige Don John Pat-</w:t>
      </w:r>
    </w:p>
    <w:p>
      <w:pPr>
        <w:spacing w:before="0" w:line="20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ric vs Kaluthanthrige Dona Mercy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33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 the  reasons  stated  I  hold  that  there  is  no  merit</w:t>
      </w:r>
    </w:p>
    <w:p>
      <w:pPr>
        <w:spacing w:before="0" w:line="205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the frst ground of Appeal taken by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Appellant, namely that there was no valid Writ application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the Provincial High Court, accordingly the frst ground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appeal is hereby rejected.</w:t>
      </w:r>
    </w:p>
    <w:p>
      <w:pPr>
        <w:spacing w:before="24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With regard to the third and fourth grounds of appeal I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fnd that there is  no substance or merit in those arguments.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addition the submissions did not sound convincing 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 two grounds were not prosecuted with much conviction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vehemence.</w:t>
      </w:r>
    </w:p>
    <w:p>
      <w:pPr>
        <w:spacing w:before="247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Second ground of appeal - undue delay</w:t>
      </w:r>
    </w:p>
    <w:p>
      <w:pPr>
        <w:spacing w:before="24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counsel for the appellant contended that there was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undue delay in presenting the writ application to the High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Court. He cited the following authorities in support of his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case.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Issadeen V The Commissioner of National Housing and</w:t>
      </w:r>
    </w:p>
    <w:p>
      <w:pPr>
        <w:spacing w:before="0" w:line="20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Lanka Diamond (Pvt) Ltd V Wilfred Vanells and Two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338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order to decide whether there was undue delay in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presenting the application for writ it becomes necessary to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deal with the facts pertaining to the case. The Petitioner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joined  the  frst  Respondent  society  on  04  of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February 1971 as a general manager. The Petitioner was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appointed as a curator of the stores on 26 of June 1973.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Due to a leakage of goods to the value of Rs. 8146.76, the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 was dismissed from service without any enquiry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whatsoever. The Petitioner states that by letter dated 13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August 1976, he was dismissed from service with immediate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effect without following any procedure. The Petitioner further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states that the dismissal was totally and completely against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principles of natural justice, that thereafter the Petition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er submitted several appeals to the Respondents including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Respondent Appellant and after four years that is on 8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August 1979 a charge sheet was issued on the Petitioner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containing three charges but a disciplinary inquiry was not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 to go into the charges framed against him based on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 sheet. Thereafter nearly 21 years later another charge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sheet was issued against the Petitioner. The second charge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sheet was issued on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November 1997. At the time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19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Multi Purpose Co-operative Society, Medawachchiya vs. Kirimudiyanse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4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145</w:t>
      </w:r>
    </w:p>
    <w:p>
      <w:pPr>
        <w:spacing w:before="297" w:line="21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issuing the second charge sheet the dismissal made on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August 1976, prior to the issuance of the two charge sheets,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not cancelled and was in existence.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inquiry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followed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second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sheet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commenced on 25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February 1998 and was completed on</w:t>
      </w:r>
    </w:p>
    <w:p>
      <w:pPr>
        <w:spacing w:before="1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sixth of April 1998. It is alleged by the Petitioner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disciplinary inquiry was concluded without granting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 the  opportunity  to  meet  his  case  properly  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effectively.</w:t>
      </w:r>
    </w:p>
    <w:p>
      <w:pPr>
        <w:spacing w:before="24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It was submitted on behalf of the petitioner that the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informed  the  petitioner  that  he  had  been</w:t>
      </w:r>
    </w:p>
    <w:p>
      <w:pPr>
        <w:spacing w:before="1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convicted of all the charges leveled against him and that</w:t>
      </w:r>
    </w:p>
    <w:p>
      <w:pPr>
        <w:spacing w:before="0" w:line="205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he appealed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but was informed that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intervene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matter.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 had thereafter submitted a second appeal dated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July  1999,  to  the, 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by  stating  his</w:t>
      </w:r>
    </w:p>
    <w:p>
      <w:pPr>
        <w:spacing w:before="82" w:line="21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grievance but once again, by the letter dated 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August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1999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Respondent informed the Petitioner that there was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interfere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decision.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had submitted two more appeals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 but was informed that his request cannot be considered.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January 2001 the Petitioner submitted a further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Respondent. As a result of that appeal the</w:t>
      </w:r>
    </w:p>
    <w:p>
      <w:pPr>
        <w:spacing w:before="82" w:line="213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Petitioner was asked to appear before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but was informed that there was no reason to change the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decision and it was thereafter that the Petitioner fled the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writ application in the High Court of Anuradhapura on 18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December 2002.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crystal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untoward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inexcusable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delay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in holding a proper disciplinary inquiry against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Petitioner. He had been dismissed summarily without holding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 inquiry or even serving a charge sheet on him. Thereafter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took several years to frame charges against the Petitioner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there too the authorities failed to prosecute or to hold an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inquiry on the charge sheet issued against him and subse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quently after 21 years a second charge sheet was served on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him. It is only thereafter a purported inquiry was held and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 at that inquiry, on the evidence it is clear that the Peti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24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tioner was not afforded a fair inquiry. He was not permitted</w:t>
      </w:r>
    </w:p>
    <w:p>
      <w:pPr>
        <w:spacing w:before="114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lead evidence at the inquiry held and thus was deprived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a fair inquiry. Delay / laches of a party does not bestow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right or privilege on the other to indulge in delay / laches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 is it ethical, proper, just or fair to allow the Appellant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rely on the delay on the part of the Petitioner in fling the writ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application, when they themselves delayed long years, for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  than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21  years,  in  framing  charges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 the Petitioner. On the other hand in view of the bra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zen facts I am of the opinion that even if there was a delay in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fling the application for writ that delay is certainly excusable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pardonable in the light of and in the face of the glaring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injustice, the glaring prejudice that has been caused to the</w:t>
      </w:r>
    </w:p>
    <w:p>
      <w:pPr>
        <w:spacing w:before="0" w:line="211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 by the conduct of the frst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and the</w:t>
      </w:r>
    </w:p>
    <w:p>
      <w:pPr>
        <w:spacing w:before="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Appellant.</w:t>
      </w:r>
    </w:p>
    <w:p>
      <w:pPr>
        <w:spacing w:before="344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Tenability of the Learned High Court Judges order</w:t>
      </w:r>
    </w:p>
    <w:p>
      <w:pPr>
        <w:spacing w:before="25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Appellant has questioned the capacity of the Peti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tioner to maintain or invoke the writ jurisdiction of the High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Court. The Appellant was a statutory body vested with statu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tory rights and obligations created by statute. The Petitioner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an employee but it was not a simple and pure master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servant contract there was a lot of rights and obligations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governed by and emanating from statutes, especially so when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19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Multi Purpose Co-operative Society, Medawachchiya vs. Kirimudiyanse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4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147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comes to disciplinary matters, dismissal, inquiry, appeals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etc.</w:t>
      </w:r>
    </w:p>
    <w:p>
      <w:pPr>
        <w:spacing w:before="26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remedy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judicial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review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available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issue of public law is involved. The expression public law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private law whilst convenient for descriptive purposes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must be used with caution. It is not correct to assume that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is no public law element in an ordinary relationship 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master  and  servant  and  that  accordingly  in  such  a  case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judicial review would not be available. Even in a master and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servant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relationship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conditions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disciplinary matters are regulated to some degree by statu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tory provisions or a statutory scheme, such actions attract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 law remedies.</w:t>
      </w:r>
    </w:p>
    <w:p>
      <w:pPr>
        <w:spacing w:before="26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authorities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inject any elements of public law nor does the fact that the</w:t>
      </w:r>
    </w:p>
    <w:p>
      <w:pPr>
        <w:spacing w:before="6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employees in the higher grade or is an offcer. This only makes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more likely that there will be special statutory restrictions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dismissal or other underpinning of his employment. It is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this underpinning and not the seniority which injects any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element of public law. The ordinary employer is free to act in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breach of its contracts of employment and if he does so his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 will acquire certain private law rights and remedies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damages for wrongful dismissal, compensation for un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fair dismissal, an order for reinstatement or re-engagement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so on. Parliament can underpin the position of public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authority employees by directly restricting the freedom of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public authority to dismiss, thus giving the employee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least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making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potential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candidate  for  administrative  law  remedies.  (Vide.</w:t>
      </w:r>
      <w:r>
        <w:rPr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Malloch</w:t>
      </w:r>
    </w:p>
    <w:p>
      <w:pPr>
        <w:spacing w:before="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 Aberdeen Corporation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  <w:r>
        <w:rPr>
          <w:sz w:val="12"/>
          <w:szCs w:val="12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 Sriskandarajah, J.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With regard to the dismissal of the Petitioner I fnd that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had been done haphazardly without serving a charge sheet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without holding a proper inquiry. A charge sheet had been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served on the Petitioner after a couple of years and thereaf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ter a second charge sheet was fled after 21 years and it is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only thereafter that any form of an investigation has been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held. On top of this brazen violation of fundamental norms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 rights of the Petitioner, even at the investigations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 on the second charge sheet the Petitioner had not been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afforded a fair hearing. The Appellant has not observed the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principles of natural justice. In fact P 13 reveals that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 was not allowed to place his case properly, effec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tively and to the best of his ability. The investigation team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determined that it was not necessary for the Petitioner to lead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and thereafter had prevented him from leading any</w:t>
      </w:r>
    </w:p>
    <w:p>
      <w:pPr>
        <w:spacing w:before="49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evidence, in fact has ruled that they really would not permit 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Petitioner to lead evidence. This is a blatant violation of the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Petitioner’s right to a fair hearing. The Appellant has not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followed a fair procedure in keeping with the rule</w:t>
      </w:r>
      <w:r>
        <w:rPr>
          <w:sz w:val="21"/>
          <w:szCs w:val="21"/>
          <w:rFonts w:ascii="Bookman Old Style" w:hAnsi="Bookman Old Style" w:cs="Bookman Old Style"/>
          <w:color w:val="231f20"/>
          <w:spacing w:val="-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audi alteram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partem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conducting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investigations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Petitioner.  (vide.</w:t>
      </w:r>
      <w:r>
        <w:rPr>
          <w:sz w:val="21"/>
          <w:szCs w:val="21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Koralagamage Vs The Commander of the</w:t>
      </w:r>
    </w:p>
    <w:p>
      <w:pPr>
        <w:spacing w:before="0" w:line="20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Army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Ratnayake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Ekanayake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Excise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(13)</w:t>
      </w:r>
      <w:r>
        <w:rPr>
          <w:sz w:val="12"/>
          <w:szCs w:val="12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Lanka Loha Holdings (Pvt) Ltd Vs The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38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 the reasons adumbrated on the facts and the law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 am of the view that there is no merit in this appeal 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costs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fxed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 5000/= to be paid to the petitioner Respondent by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appellant.</w:t>
      </w:r>
    </w:p>
    <w:p>
      <w:pPr>
        <w:spacing w:before="247" w:line="246" w:lineRule="exact"/>
        <w:ind w:left="1077"/>
      </w:pPr>
      <w:r>
        <w:rPr>
          <w:b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LeCamwaSam,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1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9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Samarakoon v. Gunasekera and Another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149</w:t>
      </w:r>
    </w:p>
    <w:p>
      <w:pPr>
        <w:spacing w:before="814" w:line="210" w:lineRule="exact"/>
        <w:ind w:left="1731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SAMARAKOON V. GUNASEKERA AND ANOTHER</w:t>
      </w:r>
    </w:p>
    <w:p>
      <w:pPr>
        <w:spacing w:before="59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AmARATuNGA, J.,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RATNAyAkE, J. AND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EkANAyAkE, J.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 C. APPEAL NO. 84/2010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(H.C) CALA APPLICATION NO. 75/2010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NCP/HCCA/ARP 303/2007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 C. ANuRADHAPuRA 17234/L</w:t>
      </w:r>
    </w:p>
    <w:p>
      <w:pPr>
        <w:spacing w:before="0" w:line="166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mAy 26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2011</w:t>
      </w:r>
    </w:p>
    <w:p>
      <w:pPr>
        <w:spacing w:before="354" w:line="211" w:lineRule="exact"/>
        <w:ind w:left="1077"/>
      </w:pPr>
      <w:r>
        <w:rPr>
          <w:b w:val="true"/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Evidence Ordinance – Section 68 – Proof of execution of docu-</w:t>
      </w:r>
    </w:p>
    <w:p>
      <w:pPr>
        <w:spacing w:before="32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ments required by law to be attested – Manner of proving such</w:t>
      </w:r>
    </w:p>
    <w:p>
      <w:pPr>
        <w:spacing w:before="32" w:line="211" w:lineRule="exact"/>
        <w:ind w:left="1077"/>
      </w:pPr>
      <w:r>
        <w:rPr>
          <w:b w:val="true"/>
          <w:i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documents – Prevention of Frauds Ordinance – Section 2 and</w:t>
      </w:r>
    </w:p>
    <w:p>
      <w:pPr>
        <w:spacing w:before="32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Section 4 – Deeds affecting immovable property to be executed</w:t>
      </w:r>
    </w:p>
    <w:p>
      <w:pPr>
        <w:spacing w:before="3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before a notary and two witnesses.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order to prove the Plaintiff’s title to the property which is the subject</w:t>
      </w:r>
    </w:p>
    <w:p>
      <w:pPr>
        <w:spacing w:before="3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matter of the action, he produced at the trial the notarially executed</w:t>
      </w:r>
    </w:p>
    <w:p>
      <w:pPr>
        <w:spacing w:before="32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deeds marked P3 to P6 which were marked subject to proof. No wit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nesses were called at the trial on behalf of the Plaintiff to prove the said</w:t>
      </w:r>
    </w:p>
    <w:p>
      <w:pPr>
        <w:spacing w:before="3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deeds. At the end of the Plaintiff’s case, when the Plaintiff’s Counsel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read in evidence the deeds produced in evidence marked P3 to P6, the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defence had made an application to Court to exclude those documents</w:t>
      </w:r>
    </w:p>
    <w:p>
      <w:pPr>
        <w:spacing w:before="32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which were not properly proved. The learned District Judge held that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documents P3 to P6 had not been properly proved and accordingly,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 the Plaintiff had failed to prove his title to the land in question.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Plaintiff appealed against the decision of the District Judge to the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High Court. The High Court reversed the District Judge’s fnding on the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basis that when a deed had been duly signed and executed it must be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presumed that it had been properly executed.</w:t>
      </w:r>
    </w:p>
    <w:p>
      <w:pPr>
        <w:spacing w:before="20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High Court in total disregard of the specifc and stringent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provisions of Section 68 of the Evidence Ordinance had relied 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150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</w:t>
      </w:r>
      <w:r>
        <w:rPr>
          <w:sz w:val="18"/>
          <w:szCs w:val="18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obiter dictum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made in a case where due execution was chal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lenged, to reverse the decision of the District Judge.</w:t>
      </w:r>
    </w:p>
    <w:p>
      <w:pPr>
        <w:spacing w:before="20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 terms of Section 2 of the Prevention of  Frauds Ordinance a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sale or transfer of land has to be in writing signed by two or more</w:t>
      </w:r>
    </w:p>
    <w:p>
      <w:pPr>
        <w:spacing w:before="31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witnesses before a notary, duly attested by the notary and the</w:t>
      </w:r>
    </w:p>
    <w:p>
      <w:pPr>
        <w:spacing w:before="31" w:line="211" w:lineRule="exact"/>
        <w:ind w:left="1530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witnesses. If this is not done the document and its contents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cannot be used in evidence.</w:t>
      </w:r>
    </w:p>
    <w:p>
      <w:pPr>
        <w:spacing w:before="20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Amaratunga, J.</w:t>
      </w:r>
    </w:p>
    <w:p>
      <w:pPr>
        <w:spacing w:before="20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“When a document is admitted subject to proof, the party ten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dering it in evidence is obliged to formally prove it by calling the</w:t>
      </w:r>
    </w:p>
    <w:p>
      <w:pPr>
        <w:spacing w:before="31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evidence necessary to prove the document according to law. If</w:t>
      </w:r>
    </w:p>
    <w:p>
      <w:pPr>
        <w:spacing w:before="31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such evidence is not called and if No objection is taken to the</w:t>
      </w:r>
    </w:p>
    <w:p>
      <w:pPr>
        <w:spacing w:before="31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document when it is read in evidence at the time of closing the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case of the party who tendered the document it becomes evidence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the case.</w:t>
      </w:r>
    </w:p>
    <w:p>
      <w:pPr>
        <w:spacing w:before="20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the other hand if the document is objected to at the time when</w:t>
      </w:r>
    </w:p>
    <w:p>
      <w:pPr>
        <w:spacing w:before="31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it is read in evidence before closing the case of the party who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tendered the document in evidence, the document cannot be used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as evidence for the party tendering it.”</w:t>
      </w:r>
    </w:p>
    <w:p>
      <w:pPr>
        <w:spacing w:before="20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Gamini Amaratunga, J. –</w:t>
      </w:r>
    </w:p>
    <w:p>
      <w:pPr>
        <w:spacing w:before="20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“This Court is not inclined to order a re-trial in the absence of any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miscarriage of justice resulting from a wrong decision made by a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Court. The Plaintiff’s plight is due to the failure of his Attorney-at-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Law to adduce evidence necessary to prove the Plaintiff’s title. This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is not inclined to order a re-trial to facilitate an Attorney–at</w:t>
      </w:r>
    </w:p>
    <w:p>
      <w:pPr>
        <w:spacing w:before="31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–Law to rectify the mistake he had made in handling his client’s</w:t>
      </w:r>
    </w:p>
    <w:p>
      <w:pPr>
        <w:spacing w:before="3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case.”</w:t>
      </w:r>
    </w:p>
    <w:p>
      <w:pPr>
        <w:spacing w:before="201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4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Sangarakkita Thero v. Buddarakkita Thero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(1951) 53 NLR 457</w:t>
      </w:r>
    </w:p>
    <w:p>
      <w:pPr>
        <w:spacing w:before="201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against the judgment of the High Court of the North Central</w:t>
      </w:r>
    </w:p>
    <w:p>
      <w:pPr>
        <w:spacing w:before="3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Province (exercising Civil Appellate jurisdiction)</w:t>
      </w:r>
    </w:p>
    <w:p>
      <w:pPr>
        <w:spacing w:before="20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M. Yoosuf Nassar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Appellant</w:t>
      </w:r>
    </w:p>
    <w:p>
      <w:pPr>
        <w:spacing w:before="8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K. G. Jinasena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Respondent.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9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Samarakoon v. Gunasekera and Another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3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7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151</w:t>
      </w:r>
    </w:p>
    <w:p>
      <w:pPr>
        <w:spacing w:before="29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 22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84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Gamini amaraTunGa J.</w:t>
      </w:r>
    </w:p>
    <w:p>
      <w:pPr>
        <w:spacing w:before="23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This is an appeal, with leave to appeal granted by this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Court, against the judgment of the High Court of the North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Central Province exercising Civil Appellate jurisdiction, allow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ing the appeal fled by the plaintiff-respondent (hereinafter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called the plaintiff) in that Court against the judgment of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Court of Anuradhapura, dated 24.6.2005, dismissing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plaintiff’s action.</w:t>
      </w:r>
    </w:p>
    <w:p>
      <w:pPr>
        <w:spacing w:before="235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facts relevant to this appeal are briefy as follows: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plaintiff fled action in the District Court praying for a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declaration of his title to the land described in the sched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193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ule to his plaint, an order for ejectment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7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defendants (hereinafter called the appellant and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7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respondents) and for damages for their unlawful occupa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of the land in suit. The defendants fled answer denying</w:t>
      </w:r>
    </w:p>
    <w:p>
      <w:pPr>
        <w:spacing w:before="3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plaintiff’s claim that they were in occupation of his land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claiming  a declaration of title in their favour, on the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basis of long continued prescriptive possession, of the land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described in the schedule to the answer. The case proceeded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trial on 24 issues based on the respective claims of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land described in the schedule to the plaint was lot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No. 16 of the fnal plan No. 437 in partition action No. P 66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District Court of Anuradhapura. The said lot No. 16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allotted in common to the plaintiff and four others.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plaintiff’s position was that he had bought the shares of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others and had become the sole owner of the entire lot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No.16. In order to prove his title he produced at the trial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notarially executed deeds marked P3, P4, P5 and P6 subject</w:t>
      </w:r>
    </w:p>
    <w:p>
      <w:pPr>
        <w:spacing w:before="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proof. However no witnesses were called at the trial 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behalf of the plaintiff to prove those deeds in accordance with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152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provisions of section 68 of the Evidence Ordinance. At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end of the plaintiff’s case, when the plaintiff’s counsel read in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evidence the deeds marked P3 to P6 the defence had made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 application to Court to exclude those documents which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not properly proved. The defendants have then adduced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in support of their prescriptive title.</w:t>
      </w:r>
    </w:p>
    <w:p>
      <w:pPr>
        <w:spacing w:before="235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learned trial Judge had held that documents P3,</w:t>
      </w:r>
    </w:p>
    <w:p>
      <w:pPr>
        <w:spacing w:before="3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P5 and P6 had not been properly proved and accordingly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plaintiff had failed to properly prove his title to the land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question. On that basis he had dismissed the plaintiff’s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counter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dismissed for want of evidence to establish their prescriptive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title.</w:t>
      </w:r>
    </w:p>
    <w:p>
      <w:pPr>
        <w:spacing w:before="23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plaintiff appealed to the Civil Appellate High Court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against the dismissal of his action. The learned High Court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Judges have reversed the fnding of the learned trial Judge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documents P3, P5 and P6 had not been properly proved.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Their reasoning was that the deeds marked P3, P5 and P6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originals which had been referred to in the plaint; that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defendants had not contested the genuineness of those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deeds or had raised any issue relating to their genuineness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as such when a deed had been duly executed and signed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must be presumed that it had been properly executed. On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basis the learned High Court Judge had set aside the</w:t>
      </w:r>
    </w:p>
    <w:p>
      <w:pPr>
        <w:spacing w:before="3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learned District Judge’s fnding that in view of the failure</w:t>
      </w:r>
    </w:p>
    <w:p>
      <w:pPr>
        <w:spacing w:before="3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plaintiff to duly prove the deeds P3, P5 and P6 the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plaintiff had not properly proved his title. Accordingly the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High Court allowed the appeal of the plaintiff in relation to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declaration of his title. For their conclusion that when a</w:t>
      </w:r>
    </w:p>
    <w:p>
      <w:pPr>
        <w:spacing w:before="3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deed had been duly signed and executed it must be presumed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it had been properly executed, the learned Judges have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relied on the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Sangarakkita Thero vs. Buddarak-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kita Thero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9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Samarakoon v. Gunasekera and Another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3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7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153</w:t>
      </w:r>
    </w:p>
    <w:p>
      <w:pPr>
        <w:spacing w:before="297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an application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respondent, this</w:t>
      </w:r>
    </w:p>
    <w:p>
      <w:pPr>
        <w:spacing w:before="12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Court has granted leave to appeal against the judgment of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 Appellate High Court on the following question of law: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 the plaintiff-respondent discharged his burden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required in a vindication action (sic.)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Did the honourable judge of the High Court of Civil Appeal</w:t>
      </w:r>
    </w:p>
    <w:p>
      <w:pPr>
        <w:spacing w:before="3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err in law by holding that the plaintiff-respondent had</w:t>
      </w:r>
    </w:p>
    <w:p>
      <w:pPr>
        <w:spacing w:before="39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identifed the land in question in the circumstances of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case?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 the plaintiff respondent has proved his claim on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balance of probability?</w:t>
      </w:r>
    </w:p>
    <w:p>
      <w:pPr>
        <w:spacing w:before="237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At the hearing of the appeal both parties made sub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missions on the correctness of the reasoning of the Civil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Appellate High Court on the issue whether document P3, P5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P6 had been properly proved.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 P3, P5 and P6 are notarially executed deeds.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 by producing those deeds in evidence sought to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prove that the rights of the others who become co-owners</w:t>
      </w:r>
    </w:p>
    <w:p>
      <w:pPr>
        <w:spacing w:before="3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lot No. 16 in plan No. 437 of the partition action P66 had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lawfully transferred their title to Lot No. 16 to him, making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 the lawful owner of their shares.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Prevention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Frauds</w:t>
      </w:r>
    </w:p>
    <w:p>
      <w:pPr>
        <w:spacing w:before="3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Ordinance a sale or transfer of land has to be in writing signed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by two or more witnesses before a notary and duly attested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notary and the witnesses. Thus the deeds marked P3,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P5 and P6 being documents for the sale and transfer of an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interest in the land are documents required by law to be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attested. When such a document is to be used in evidence,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manner  of  proving  it  is  set  out  in  section  68  of 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Ordinance which reads as follows: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154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7"/>
          <w:sz w:val="21"/>
          <w:szCs w:val="21"/>
          <w:rFonts w:ascii="Cambria" w:hAnsi="Cambria" w:cs="Cambria"/>
          <w:color w:val="231f20"/>
        </w:rPr>
        <w:t xml:space="preserve">“If a document is required by law to be attested, it shall</w:t>
      </w:r>
    </w:p>
    <w:p>
      <w:pPr>
        <w:spacing w:before="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used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until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attesting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witness</w:t>
      </w:r>
    </w:p>
    <w:p>
      <w:pPr>
        <w:spacing w:before="45" w:line="246" w:lineRule="exact"/>
        <w:ind w:left="1474"/>
      </w:pP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at least has been called for the purpose of proving its</w:t>
      </w:r>
    </w:p>
    <w:p>
      <w:pPr>
        <w:spacing w:before="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execution,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attesting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witness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alive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subject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process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capable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giving</w:t>
      </w:r>
    </w:p>
    <w:p>
      <w:pPr>
        <w:spacing w:before="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evidence.”</w:t>
      </w:r>
    </w:p>
    <w:p>
      <w:pPr>
        <w:spacing w:before="24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course of giving evidence, if a witness refers to a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document which he proposes to use as evidence, it shall be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marked in evidence. If the party against whom such docu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ment is sought to be used as evidence, does not object to it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being received in evidence, and if the document is not one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forbidden by law to be received in evidence, the document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its contents become evidence in the case, On the other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hand if the opposing party objects to the document being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used as evidence, it is to be admitted subject to proof. When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document is admitted subject to proof, the party tender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ing it in evidence is obliged to formally prove it by calling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evidence necessary to prove the document according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law. If such evidence is not called and if no objection is tak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en to the document when it is read in evidence at the time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closing the case of the party who tendered the document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becomes evidence in the case. On the other hand if the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document is objected to at the time when it is read in evidence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closing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party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  in  evidence,  the  document  cannot  be  used  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for the party tendering it.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deed for the sale or transfer of land, being a document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which is required by law to be attested, has to be proved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the manner set out in section 68 of the Evidence Ordi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nance by proof that the maker (the vendor) of that document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signed it in the presence of witnesses and the notary. If this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not done the document and its contents cannot be used in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9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Samarakoon v. Gunasekera and Another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3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7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155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evidence.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witnesses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deeds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P3,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P5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P6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accordance with section 68 of the Evidence Ordinance.</w:t>
      </w:r>
    </w:p>
    <w:p>
      <w:pPr>
        <w:spacing w:before="22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Judges in their judgment have</w:t>
      </w:r>
    </w:p>
    <w:p>
      <w:pPr>
        <w:spacing w:before="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not referred to section 68 at all. Instead, they have based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obiter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dictum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contained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  in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Sangarakkita Thero vs. Buddharakkita Thero</w:t>
      </w:r>
    </w:p>
    <w:p>
      <w:pPr>
        <w:spacing w:before="2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. That was a case where a deed, executed when the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executant was warded in a hospital, appointing an incum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bent of a temple, was challenged on the ground that it had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been executed in accordance with the provisions of sec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 4 of the Prevention of Frauds Ordinance relating to the</w:t>
      </w:r>
    </w:p>
    <w:p>
      <w:pPr>
        <w:spacing w:before="2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executions of wills. The ground of challenge was that the deed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not been executed in accordance with the manner pro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vided in section 4. On the evidence available the Supreme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had held that the will had been duly executed in con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formity with the requirements of section 4 of the Prevention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Frauds Ordinance.</w:t>
      </w:r>
    </w:p>
    <w:p>
      <w:pPr>
        <w:spacing w:before="22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Having come to that conclusion, Rose C.J. by way of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obiter had made the following statement.</w:t>
      </w:r>
    </w:p>
    <w:p>
      <w:pPr>
        <w:spacing w:before="2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“But even if that were not so, and if the correct view is</w:t>
      </w:r>
    </w:p>
    <w:p>
      <w:pPr>
        <w:spacing w:before="29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there is some small omission in the chain of evi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9" w:line="246" w:lineRule="exact"/>
        <w:ind w:left="1474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dence, I would not be disposed to say in the light of</w:t>
      </w:r>
    </w:p>
    <w:p>
      <w:pPr>
        <w:spacing w:before="29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emphasis which was placed on the various issues</w:t>
      </w:r>
    </w:p>
    <w:p>
      <w:pPr>
        <w:spacing w:before="29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Court below that such small omission was fatal</w:t>
      </w:r>
    </w:p>
    <w:p>
      <w:pPr>
        <w:spacing w:before="29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the respondent’s position. There is of course, a pre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9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sumption that a deed which on its face appears to be in</w:t>
      </w:r>
    </w:p>
    <w:p>
      <w:pPr>
        <w:spacing w:before="29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order has been duly executed, and it seems to me that the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mere framing of an issue as to due execution of the deed</w:t>
      </w:r>
    </w:p>
    <w:p>
      <w:pPr>
        <w:spacing w:before="29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followed in due course by a perfunctory question or two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matter of execution without specifying in detail the</w:t>
      </w:r>
    </w:p>
    <w:p>
      <w:pPr>
        <w:spacing w:before="4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omissions and illegalities which are relied upon, is insuf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fcient to rebut that presumption” (at 459)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156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What the learned Chief Justice said in the  above passage</w:t>
      </w:r>
    </w:p>
    <w:p>
      <w:pPr>
        <w:spacing w:before="3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was that although there are small omissions in the chain of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in a situation where due execution according to law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being challenged, a small omission in the chain of evidence</w:t>
      </w:r>
    </w:p>
    <w:p>
      <w:pPr>
        <w:spacing w:before="3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may be cured by the presumption that a deed which on its face</w:t>
      </w:r>
    </w:p>
    <w:p>
      <w:pPr>
        <w:spacing w:before="3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appears to be in order has been duly executed. The framing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an issue as to due execution and a perfunctory question or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 on the general matter of execution, without specifying in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detail the omissions or illegalities regarding execution, would</w:t>
      </w:r>
    </w:p>
    <w:p>
      <w:pPr>
        <w:spacing w:before="3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be insuffcient to rebut the presumption of due execution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despite small omissions in the chain of evidence regarding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 execution.</w:t>
      </w:r>
    </w:p>
    <w:p>
      <w:pPr>
        <w:spacing w:before="23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present case, the defendants had not challenged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P3,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P5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P6.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</w:p>
    <w:p>
      <w:pPr>
        <w:spacing w:before="33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objected to those documents at the time  the same were</w:t>
      </w:r>
    </w:p>
    <w:p>
      <w:pPr>
        <w:spacing w:before="3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marked in evidence what they did was to challenge the plaintiff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prove those documents in the proper way in which a docu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ment required by law to be attested has to be proved if it is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used as evidence. The plaintiff thus had notice that 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to prove P3, P5 and P6 in the manner provided in section</w:t>
      </w:r>
    </w:p>
    <w:p>
      <w:pPr>
        <w:spacing w:before="33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68 of the Evidence Ordinance. He had failed to lead 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necessary to prove those documents in accordance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 provisions of section 68. At the close of the plaintiff’s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when the documents marked were read in evidence 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defendants have stated that documents not proved should be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excluded. This was a reference to documents marked subject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proof and proved in accordance with the law. In view of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failure of the plaintiff to prove documents P3, P5 and P6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which the title claimed by him depended, the learned trial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Judge had rightly excluded those documents and had held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plaintiff had failed to prove his title.</w:t>
      </w:r>
    </w:p>
    <w:p>
      <w:pPr>
        <w:spacing w:before="24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in total disregard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specifc and stringent provisions of section 68 of the Evidence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9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Samarakoon v. Gunasekera and Another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3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7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157</w:t>
      </w:r>
    </w:p>
    <w:p>
      <w:pPr>
        <w:spacing w:before="3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Ordinance have relied on an obiter dictum made in a case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where due execution itself was challenged, to reverse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of the learned trial judge. The basis upon which they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reversed the trial judge’s conclusion was totally erroneous. If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view taken by the learned High Court Judges was correct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would make the provisions of section 68 of the Evidence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 a dead letter. The erroneous legal basis on which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trial Judge’s decision was reversed vitiates the judgment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High Court entered in favour of the plaintiff. I therefore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answer the question of law set out in question No. (a) and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(c) in the negative and allow the appeal and set aside the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judgment of the High Court dated 11.2.2010 and affrm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 of the learned trial judge dismissing the plaintiff’s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plaintiff respondent invited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to send the case back to the District Court for re-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trial. This Court is not inclined to order a re-trial in the ab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sence of any miscarriage of  justice resulting from a wrong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decision made by a court. The plaintiff’s plight is due to the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failure of his attorney at law to adduce the evidence neces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sary to prove the plaintiff’s title. This Court is not inclined to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order a re-trial to facilitate an attorney-at-law to rectify the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mistakes he had made in handling his client’s case. I make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order for costs.</w:t>
      </w:r>
    </w:p>
    <w:p>
      <w:pPr>
        <w:spacing w:before="255" w:line="246" w:lineRule="exact"/>
        <w:ind w:left="1077"/>
      </w:pPr>
      <w:r>
        <w:rPr>
          <w:b w:val="true"/>
          <w:spacing w:val="20"/>
          <w:sz w:val="21"/>
          <w:szCs w:val="21"/>
          <w:rFonts w:ascii="Bookman Old Style" w:hAnsi="Bookman Old Style" w:cs="Bookman Old Style"/>
          <w:color w:val="231f20"/>
        </w:rPr>
        <w:t xml:space="preserve">raTnayake 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 I agree.</w:t>
      </w:r>
    </w:p>
    <w:p>
      <w:pPr>
        <w:spacing w:before="227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ekanayake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2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allowed. Judgment of High Court dated 11.2.2010 set</w:t>
      </w:r>
    </w:p>
    <w:p>
      <w:pPr>
        <w:spacing w:before="57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aside and the judgment of the District Judge dismissing the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Plaintiffs actio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 affrmed.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158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1223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GEETHIKA AND TWO OTHERS  V. DISSANAYAKA AND FIVE</w:t>
      </w:r>
    </w:p>
    <w:p>
      <w:pPr>
        <w:spacing w:before="47" w:line="239" w:lineRule="exact"/>
        <w:ind w:left="3757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OTHERS</w:t>
      </w:r>
    </w:p>
    <w:p>
      <w:pPr>
        <w:spacing w:before="59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mARSOOF.J,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EkANAyAkA, J .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SuRESH  CHANDRA J.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S.C.F.R. APPLICATION NO. 35/2011</w:t>
      </w:r>
    </w:p>
    <w:p>
      <w:pPr>
        <w:spacing w:before="27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mAy 31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2011</w:t>
      </w:r>
    </w:p>
    <w:p>
      <w:pPr>
        <w:spacing w:before="39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Constitution – Infringement of fundamental rights - Article 12[1] –</w:t>
      </w:r>
    </w:p>
    <w:p>
      <w:pPr>
        <w:spacing w:before="2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Right to equality – Article 126 – Fundamental rights jurisdiction</w:t>
      </w:r>
    </w:p>
    <w:p>
      <w:pPr>
        <w:spacing w:before="2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and its exercise</w:t>
      </w:r>
    </w:p>
    <w:p>
      <w:pPr>
        <w:spacing w:before="192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The Petitioners made an application in terms of Article 126 of the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Constitution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alleged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violation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their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fundamental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rights</w:t>
      </w:r>
    </w:p>
    <w:p>
      <w:pPr>
        <w:spacing w:before="2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guaranteed under Article 12(1) of the Constitution as a consequence</w:t>
      </w:r>
    </w:p>
    <w:p>
      <w:pPr>
        <w:spacing w:before="0" w:line="156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Petitioner not being selected for admission to Grade 1 of</w:t>
      </w:r>
    </w:p>
    <w:p>
      <w:pPr>
        <w:spacing w:before="10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 S. Senanayake College.</w:t>
      </w:r>
    </w:p>
    <w:p>
      <w:pPr>
        <w:spacing w:before="19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application for admission for the year 2011 had been submitted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the category of ‘children of the residents at close proximity to the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school.’  The main thrust of the Petitioners’ application was that on the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basis of residence, they are entitled to have their child (3rd Petitioner)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admitted to the school.</w:t>
      </w:r>
    </w:p>
    <w:p>
      <w:pPr>
        <w:spacing w:before="19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 consideration of Clause 6.1 of the Circular No. 2010/21 dated</w:t>
      </w:r>
    </w:p>
    <w:p>
      <w:pPr>
        <w:spacing w:before="22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31.5.2010 shows that the main consideration for selection of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children under the category of “children of those who are residing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close to the school” would be the Applicant’s place of residence.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Suresh Chandra, J.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 . . . interview panels should consider all the documents that are</w:t>
      </w:r>
    </w:p>
    <w:p>
      <w:pPr>
        <w:spacing w:before="2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submitted by a prospective applicant  and assess them carefully</w:t>
      </w:r>
    </w:p>
    <w:p>
      <w:pPr>
        <w:spacing w:before="2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and see whether the cumulative effect of such documents would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establish the genuine residence of such applicant.”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0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Geethika And Two Others  V. Dissanayaka And Five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8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2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159</w:t>
      </w:r>
    </w:p>
    <w:p>
      <w:pPr>
        <w:spacing w:before="36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interview panel failed to evaluate the documents that were</w:t>
      </w:r>
    </w:p>
    <w:p>
      <w:pPr>
        <w:spacing w:before="4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submitted by the Petitioners in support of their application to</w:t>
      </w:r>
    </w:p>
    <w:p>
      <w:pPr>
        <w:spacing w:before="4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admit the child to the school and appear to have acted arbitrarily.</w:t>
      </w:r>
    </w:p>
    <w:p>
      <w:pPr>
        <w:spacing w:before="4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panel appears to have considered the concept of residence in</w:t>
      </w:r>
    </w:p>
    <w:p>
      <w:pPr>
        <w:spacing w:before="4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 very abstract manner and has failed to consider the totality of</w:t>
      </w:r>
    </w:p>
    <w:p>
      <w:pPr>
        <w:spacing w:before="4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documents that were submitted which clearly establish the</w:t>
      </w:r>
    </w:p>
    <w:p>
      <w:pPr>
        <w:spacing w:before="4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residence of the Petitioners.</w:t>
      </w:r>
    </w:p>
    <w:p>
      <w:pPr>
        <w:spacing w:before="2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Petitioners have established the fact of violation of their funda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mental rights in terms of Article 12(1) of the Constitution.</w:t>
      </w:r>
    </w:p>
    <w:p>
      <w:pPr>
        <w:spacing w:before="21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–</w:t>
      </w:r>
    </w:p>
    <w:p>
      <w:pPr>
        <w:spacing w:before="16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8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Haputhantirige and others v. Attorney General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(2007) 1 Sri L.R.</w:t>
      </w:r>
    </w:p>
    <w:p>
      <w:pPr>
        <w:spacing w:before="4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101</w:t>
      </w:r>
    </w:p>
    <w:p>
      <w:pPr>
        <w:spacing w:before="218" w:line="211" w:lineRule="exact"/>
        <w:ind w:left="1077"/>
      </w:pPr>
      <w:r>
        <w:rPr>
          <w:b w:val="true"/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made in terms of Article 126 of the Constitution</w:t>
      </w:r>
    </w:p>
    <w:p>
      <w:pPr>
        <w:spacing w:before="21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Kanishka Witharana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Petitioners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Ms. Barrie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State Counsel for the Attorney General</w:t>
      </w:r>
    </w:p>
    <w:p>
      <w:pPr>
        <w:spacing w:before="161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pacing w:before="46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00" w:line="246" w:lineRule="exact"/>
        <w:ind w:left="1077"/>
      </w:pPr>
      <w:r>
        <w:rPr>
          <w:b w:val="true"/>
          <w:spacing w:val="15"/>
          <w:sz w:val="21"/>
          <w:szCs w:val="21"/>
          <w:rFonts w:ascii="Bookman Old Style" w:hAnsi="Bookman Old Style" w:cs="Bookman Old Style"/>
          <w:color w:val="231f20"/>
        </w:rPr>
        <w:t xml:space="preserve">SureSH CHandra J.</w:t>
      </w:r>
    </w:p>
    <w:p>
      <w:pPr>
        <w:spacing w:before="3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</w:t>
      </w:r>
      <w:r>
        <w:rPr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Article 126 of the Constitution for the alleged violation of their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  rights  guaranteed  under  Article  12(1)  of  the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consequence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 selected for admission to Grade 1 of D. S. Senanayake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College.</w:t>
      </w:r>
    </w:p>
    <w:p>
      <w:pPr>
        <w:spacing w:before="25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Petitioners in their application have stated that the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Petitioners are the parents of the 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whose admission to D. S. Senanayake College they made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 application for the year 2011. The application had been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submitted under the category of “Children of the residents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close proximity to the School” which category is dealt with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under Clauses 6.1 (I-IV) of the circular No. 2010/21 dated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31.5.2010  issued  by  the  ministry  of  Education  regarding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admission of children to Grade 1 of Government Schools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marked P5. The Petitioners stated that they submitted docu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ments P8 to P17 along with their application and tendered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documents marked P19A to P19T at the interview held on</w:t>
      </w:r>
    </w:p>
    <w:p>
      <w:pPr>
        <w:spacing w:before="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7th September 2010 and that they were informed by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Panel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interview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received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57</w:t>
      </w:r>
    </w:p>
    <w:p>
      <w:pPr>
        <w:spacing w:before="0" w:line="199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marks. They were surprised to see that the name of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Petitioner was not in the list of children selected for admis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which was displayed by the school.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had</w:t>
      </w:r>
    </w:p>
    <w:p>
      <w:pPr>
        <w:spacing w:before="1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submitted an appeal in terms of the said circular and had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substantiate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her child selected to the said School. Thereafter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had been required to attend an inquiry before the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Appeals Board and she had submitted a further document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(P22)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Housing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Development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Authority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regarding the house that they were residing. According to</w:t>
      </w:r>
    </w:p>
    <w:p>
      <w:pPr>
        <w:spacing w:before="0" w:line="199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matters indicated by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at the appeal</w:t>
      </w:r>
    </w:p>
    <w:p>
      <w:pPr>
        <w:spacing w:before="7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inquiry,  the 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 had  been  given  the  impression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she would be given a further 25 marks on distance and</w:t>
      </w:r>
    </w:p>
    <w:p>
      <w:pPr>
        <w:spacing w:before="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4 marks for title documents by treating same as a lease,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entitling them to earn 86 marks. However, when the fnal list</w:t>
      </w:r>
    </w:p>
    <w:p>
      <w:pPr>
        <w:spacing w:before="0" w:line="199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was displayed in the School the name of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1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was not included in the list either among those who were</w:t>
      </w:r>
    </w:p>
    <w:p>
      <w:pPr>
        <w:spacing w:before="4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selected or those who were on the waiting list. The waiting list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consisted  of  those  who  had  received  between  55  and  60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marks.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to this Court.</w:t>
      </w:r>
    </w:p>
    <w:p>
      <w:pPr>
        <w:spacing w:before="241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Respondents fled objections by fling an affdavit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Respondent, who stated that the petitioner’s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0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Geethika And Two Others  V. Dissanayaka And Five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8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2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161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assertion that they had earned 57 marks at the interview was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false and that they had been awarded only 37 marks as per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 marked R2, and that there was no alteration of the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marks at the Appeals Board, and that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12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did not qualify for selection on the marks obtained by the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has further stated that the</w:t>
      </w:r>
    </w:p>
    <w:p>
      <w:pPr>
        <w:spacing w:before="12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Petitioners could not be awarded any marks under Clause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6.1 (II) as they had not produced any of the documents set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out in the circular, and that no marks could be allocated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Clause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6.1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(IV)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to have established the requirement of residence.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further stated that the cut off mark for</w:t>
      </w:r>
    </w:p>
    <w:p>
      <w:pPr>
        <w:spacing w:before="12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selection was 61 marks and that those who had obtained</w:t>
      </w:r>
    </w:p>
    <w:p>
      <w:pPr>
        <w:spacing w:before="0" w:line="19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over 55 marks had been placed in the waiting list.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2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in the said circumstances denied violating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 rights of the Petitioners as alleged.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application requires a consideration of the provisions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circular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P5(R1)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lays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down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criteria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Grade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Schools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specially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pertaining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residence.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main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thrust of the Petitioners application is that on the basis of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residence they are entitled to have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admitted</w:t>
      </w:r>
    </w:p>
    <w:p>
      <w:pPr>
        <w:spacing w:before="1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school.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Clause  6.1  sets  out  that  50%  would  be  admitted  on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basis of “Children of residents in Close Proximity to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School”. The said Clause 6.1 comprises four sub-clauses I, II,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III and IV. under I – “Titled residence”, the electoral lists are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taken into account and a maximum of 35 marks is allocat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ed on the basis of 7 marks per year from the year prior to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admission and the previous continuous fve years.</w:t>
      </w:r>
    </w:p>
    <w:p>
      <w:pPr>
        <w:spacing w:before="247" w:line="246" w:lineRule="exact"/>
        <w:ind w:left="1508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under Sub-Clause II – “Documents establishing residence”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maximum of 10 marks is given if the Ownership Deed is in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name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Applicant or the spouse and within brackets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stated as Transfer/Gift. If the Deed (Transfer/Gift) is in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name of the Applicant’s or spouses father or mother, 6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 are allotted.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Buddhist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Temporalities Ordinance can be accepted according to the</w:t>
      </w:r>
    </w:p>
    <w:p>
      <w:pPr>
        <w:spacing w:before="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area, and further that Folios and Duplicates can also be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Registered lease deeds and Government Offcial Quarters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 would be allotted 4 marks and unregistered lease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deeds would be allotted 2 marks.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Sub - Clause III – “ Other Documents establishing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residence” – A maximum of 5 marks is allotted on the basis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1 mark for each document for documents such as National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Identity card, Electricity bills, Water bills, Telephone bills,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marriage certifcates, etc.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Sub-Clause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IV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“Proximity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School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Residence” – under this a maximum of 50 marks is allotted on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basis that if there are no other government schools having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primary sections between the residence and the school that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child is sought to be admitted. If there are other schools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between where the child could be admitted, 5 marks to be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deducted for each school.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Respondents  have  produced  document  R2  along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their objections, which is a copy of the document which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used by the School at the Interview which sets out</w:t>
      </w:r>
    </w:p>
    <w:p>
      <w:pPr>
        <w:spacing w:before="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manner in which marks have been allotted. The said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 is divided into four cages according to Clause 6.1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to IV of the aforesaid Circular.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0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Geethika And Two Others  V. Dissanayaka And Five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8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2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163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 to the said document R2, 35 marks have been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allocated under Clause 6.1 – I for the electoral Lists that had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been produced as the names of the Petitioners have been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registered at the address given by them as their residence for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years 2005 to 2009 continuously. It is also signifcant to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note that the names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as well as</w:t>
      </w:r>
    </w:p>
    <w:p>
      <w:pPr>
        <w:spacing w:before="1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name of “kariyawasam uluwita Gamage kusumalatha”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mother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is also included as being at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same address.</w:t>
      </w:r>
    </w:p>
    <w:p>
      <w:pPr>
        <w:spacing w:before="25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 marks have been allocated under 6.1 – II regarding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 relating to the residence. In this cage, the neces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sary documents are listed as 1,2, 3 and 4. In the category 2,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which is “In the name of the Applicant’s mother or father”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which 6 marks can be given, in the column set apart for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“maximum marks” a “?” mark has been put, and the word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“mother” has been underlined.</w:t>
      </w:r>
    </w:p>
    <w:p>
      <w:pPr>
        <w:spacing w:before="25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under Sub-Clause 6.1 – III, 02 marks have been given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the basis of other documents establishing the residence.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is not quite clear as to the documents for which the 02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 have been allocated, and it appears that out of the fve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 stated in R2, namely, National Identity card, Tele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phone bills, Water bills, marriage certifcate, driving license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other, only water bills have been ticked off.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Sub-Clause 6.1 – IV, regarding proximity to school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from the residence, the fgures “06” have been put within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cage stating this category and under the marks allotted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column the fgures “20” within brackets have been written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struck off with an oblique stroke of a pen and on the side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written in Sinhala as follows:” Since there is no deed no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 can be given regarding schools.”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 examination of the said document shows that below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cage setting out the above mentioned particulars regard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the residence and marks, there is a legend “Full marks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obtained:” and alongside that the following “…….. (in words).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There is no entry alongside “Full marks Obtained” nor 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anything written in words. However, at the right edge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document which is below the cage set out for marks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fgures “37” is written.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further observation regarding Document R2 is that on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left hand margin of the document the word “kusumal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atha” is written in Sinhala in ink, which is the name of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Applicant’s mother as has been revealed in the petition 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documents produced. Further it is also stated in Sinhala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that margin in Sinhala that “there is no deed” and also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words “National” and “Documents” in Sinhala.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consideration of Clause 6.1 of the Circular (R1) shows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 main consideration for selection of children under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category of “Children of those who are residing close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School”. Would be the Applicant’s place of residence.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 indices or criteria that are to be taken into account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regarding the establishing of same are set out in 6.1 – I – IV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above.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main thread which runs through all four categories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the concept of “residence”.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ordinary meaning that is given to “residence” is “the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place where an individual eats, drinks, and sleeps or where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family or his servants eat, drink and sleep. (Wharton’s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Lexicon).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Residence as envisaged by the said Circular would imply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permanent abode which has been used for a continuous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0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Geethika And Two Others  V. Dissanayaka And Five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8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2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165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eriod. The manner in which 35 marks have been allotted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indicate that the continuity in such residence should</w:t>
      </w:r>
    </w:p>
    <w:p>
      <w:pPr>
        <w:spacing w:before="7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at least for a period of 5 years. Such residence does not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necessarily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connote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ownership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circular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speaks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7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leases whether registered or unregistered being acceptable</w:t>
      </w:r>
    </w:p>
    <w:p>
      <w:pPr>
        <w:spacing w:before="7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the purpose of establishing residence. Credence is also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 to the acceptability of other documents such as utility</w:t>
      </w:r>
    </w:p>
    <w:p>
      <w:pPr>
        <w:spacing w:before="7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bills, employment letters, bank documents, letters received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etc which would all serve as items establishing the genuine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ness of the residence. Such documents if available for a long</w:t>
      </w:r>
    </w:p>
    <w:p>
      <w:pPr>
        <w:spacing w:before="7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period of time would indicate that they have been obtained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purpose of getting a residential qualifcation. Procure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of such documents is sometimes referred to as “manu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facturing” of documents. Care has to be taken in identifying</w:t>
      </w:r>
    </w:p>
    <w:p>
      <w:pPr>
        <w:spacing w:before="7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such “manufactured” documents from genuine documents.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interview panels should consider all the documents</w:t>
      </w:r>
    </w:p>
    <w:p>
      <w:pPr>
        <w:spacing w:before="7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are submitted by a prospective applicant and assess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 carefully and see whether the cumulative effect of such</w:t>
      </w:r>
    </w:p>
    <w:p>
      <w:pPr>
        <w:spacing w:before="7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documents would establish the genuine residence of such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applicant.</w:t>
      </w:r>
    </w:p>
    <w:p>
      <w:pPr>
        <w:spacing w:before="27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  to  Clause  6.1,  35  marks  are  given  for  the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electoral register Extracts which would seem to be the basic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most important criterion and that the other documents</w:t>
      </w:r>
    </w:p>
    <w:p>
      <w:pPr>
        <w:spacing w:before="7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referred to in Sub-Clause 6.1 – II and III substantiate or</w:t>
      </w:r>
    </w:p>
    <w:p>
      <w:pPr>
        <w:spacing w:before="7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confrm the residence given in the electoral register extract.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Therefore, if the electoral register extracts have been accepted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entitlement of full marks (35) have been given, there</w:t>
      </w:r>
    </w:p>
    <w:p>
      <w:pPr>
        <w:spacing w:before="7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no reason as to why such an applicant cannot get marks</w:t>
      </w:r>
    </w:p>
    <w:p>
      <w:pPr>
        <w:spacing w:before="7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under Sub-Clause 6.1 – IV which is 50 marks less 5 marks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each school from the residence to the school applied.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R2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interview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sheet,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category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  schools,  the  fgure  “6”  being  entered  is  signifcant,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which would mean that there are six other schools between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residence and the relevant school for which 30 marks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be deducted and the applicant would be entitled to 20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marks. This is apparently the reason why the fgures “20”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been entered in R2 within brackets and for some reason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best known to the Interview Panel has been struck off with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oblique stroke and with the note “not entitled to marks 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is no valid deed”.</w:t>
      </w:r>
    </w:p>
    <w:p>
      <w:pPr>
        <w:spacing w:before="24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is my view that, once marks are given under Clause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6.1 for the Electoral Register Extracts which satisfed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criterion of “residence”, then such an applicant is entitled to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marks under Clause 6.1 – IV. Therefore accepting the fact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20 marks could have been given as is seen in R2,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deprive the petitioner of such marks is incorrect and they are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entitled to 20 marks on that score.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several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documents, among which the relevant documents were the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National Identity Cards and Telephone Bills which were in</w:t>
      </w:r>
    </w:p>
    <w:p>
      <w:pPr>
        <w:spacing w:before="0" w:line="201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the name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Petitioner, Child Health Development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Record,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Bank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statements,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ment which refer to the residence of the petitioner etc. The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other utility bills such as electricity and  water were in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name of the mother of the 1st Petitioner, kusumalatha.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documents that can be considered under Clause 6.1-III are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confned to the fve documents listed therein, it refers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 documents without mentioning the type of documents.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is left to the interview Panel to consider other relevant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documents.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because they are not listed in the relevant Clause. What is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necessary to be seen is as to whether such documents can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0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Geethika And Two Others  V. Dissanayaka And Five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8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2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167</w:t>
      </w:r>
    </w:p>
    <w:p>
      <w:pPr>
        <w:spacing w:before="3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be considered to confrm the residence of the Applicants.</w:t>
      </w:r>
    </w:p>
    <w:p>
      <w:pPr>
        <w:spacing w:before="56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such circumstances important documents such as the</w:t>
      </w:r>
    </w:p>
    <w:p>
      <w:pPr>
        <w:spacing w:before="56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child’s health development record, and the letters regard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6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their employment should have been considered. Only 2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 had been given under this category whereas according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documents produced, even if the other documents are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disregarded, for the two national identity card, the telephone</w:t>
      </w:r>
    </w:p>
    <w:p>
      <w:pPr>
        <w:spacing w:before="56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bill and the health record marks should have been given. I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 of the view that at least 4 marks should have been given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this category.</w:t>
      </w:r>
    </w:p>
    <w:p>
      <w:pPr>
        <w:spacing w:before="25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requires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6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documents produced as P17 which is a document issued</w:t>
      </w:r>
    </w:p>
    <w:p>
      <w:pPr>
        <w:spacing w:before="0" w:line="212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National Housing Development Authority on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</w:t>
      </w:r>
    </w:p>
    <w:p>
      <w:pPr>
        <w:spacing w:before="146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2004 in favour of “k. u. P. kusumalatha”, which states that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premises has been conveyed to her. According to the</w:t>
      </w:r>
    </w:p>
    <w:p>
      <w:pPr>
        <w:spacing w:before="0" w:line="212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Affdavit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P16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6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Petitioner. According to Clause 6.1, the documents listed</w:t>
      </w:r>
    </w:p>
    <w:p>
      <w:pPr>
        <w:spacing w:before="56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are Transfer deeds, Gift deeds, Leases both registered and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unregistered and government quarters documents. Would it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mean that the document P17 cannot be considered to satisfy</w:t>
      </w:r>
    </w:p>
    <w:p>
      <w:pPr>
        <w:spacing w:before="56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criterion of residence, just because it is a letter and not</w:t>
      </w:r>
    </w:p>
    <w:p>
      <w:pPr>
        <w:spacing w:before="56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deed? From the documents that are to be considered in</w:t>
      </w:r>
    </w:p>
    <w:p>
      <w:pPr>
        <w:spacing w:before="56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circular, what is important is the establishing of the</w:t>
      </w:r>
    </w:p>
    <w:p>
      <w:pPr>
        <w:spacing w:before="56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“residence” and not ownership. In effect the writing of the</w:t>
      </w:r>
    </w:p>
    <w:p>
      <w:pPr>
        <w:spacing w:before="56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name “kusumalatha” in R2 is indicative of the fact that the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Interview Panel’s attention had been drawn to P17.</w:t>
      </w:r>
    </w:p>
    <w:p>
      <w:pPr>
        <w:spacing w:before="25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it,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P17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confers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ownership of a premises. However, it is a document issued by</w:t>
      </w:r>
    </w:p>
    <w:p>
      <w:pPr>
        <w:spacing w:before="56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National Housing Development Authority relating to the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particular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wherein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mother</w:t>
      </w:r>
    </w:p>
    <w:p>
      <w:pPr>
        <w:spacing w:before="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kusumalatha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residing.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parent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applicant, and if a registered or unregistered lease docu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can be considered in favour of an applicant to establish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residence, I see no reason as to why P17 cannot be consid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ered, a reading of  which clearly indicated that kusumalatha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would be given the said premises, which certainly goes to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establish her residence at the said address, as well as its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legitimacy. When the appeal was considered, the Petitioners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submitted P22 which was a confrmation of P17 issued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National Housing Development Authority. In the said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circumstances the Petitioners are entitled to get marks for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 17 and since it is in the name of the mother of the Petitioner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should entitle the petitioner to get 6 marks.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Haputhantirige and others v. Attorney General,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 of  residence  and  ownership  was  looked  into  by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this Court in relation to a previous circular by the minis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try of Education and it went on to note certain instances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large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amounts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“manufactured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deeds” shown as evidence of ownership when entering chil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dren into government  schools. It was further noted that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circumstances such as where a property was inherited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from a parent who had died and testamentary proceedings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were not concluded or where instances of co-ownership or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prescriptive possession could not be proven by title deeds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people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allocated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according to the marking scheme. It is clear that the interview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panel should always have to look at the establishment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to prove residence and consider the totality of what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has been put forward as evidence by a parent to establish</w:t>
      </w:r>
    </w:p>
    <w:p>
      <w:pPr>
        <w:spacing w:before="51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evidence rather than only carrying out an exercise of ticking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 box in relation to the specifed documents mentioned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circular alone. It has to be noted that such arbitrary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askerville Old Face">
    <w:panose1 w:val="02020602080505020303"/>
    <w:charset w:val="00"/>
    <w:pitch w:val="variable"/>
    <w:sig w:usb0="00000003" w:usb1="00000000" w:usb2="00000000" w:usb3="00000000" w:csb0="20000001" w:csb1="0000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Leelawadee UI Semilight">
    <w:panose1 w:val="00000400000000000000"/>
    <w:charset w:val="00"/>
    <w:pitch w:val="variable"/>
    <w:sig w:usb0="00000000" w:usb1="00000000" w:usb2="00000000" w:usb3="00000000" w:csb0="00000000" w:csb1="0000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