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205" w:line="233" w:lineRule="exact"/>
        <w:ind w:left="12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Containing cases and other matters decided by the</w:t>
      </w:r>
    </w:p>
    <w:p>
      <w:pPr>
        <w:spacing w:before="54" w:line="233" w:lineRule="exact"/>
        <w:ind w:left="1579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Supreme Court and the Court of Appeal of the</w:t>
      </w:r>
    </w:p>
    <w:p>
      <w:pPr>
        <w:spacing w:before="54" w:line="233" w:lineRule="exact"/>
        <w:ind w:left="1754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Democratic Socialist Republic of Sri Lanka</w:t>
      </w:r>
    </w:p>
    <w:p>
      <w:pPr>
        <w:spacing w:before="480" w:line="194" w:lineRule="exact"/>
        <w:ind w:left="292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[2011] 2 SRI L.R. - PART 13</w:t>
      </w:r>
    </w:p>
    <w:p>
      <w:pPr>
        <w:spacing w:before="158" w:line="194" w:lineRule="exact"/>
        <w:ind w:left="3374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>PAGES  337 - 364</w:t>
      </w:r>
    </w:p>
    <w:p>
      <w:pPr>
        <w:spacing w:before="285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Consulting Editors</w:t>
      </w:r>
      <w:r>
        <w:rPr>
          <w:b w:val="true"/>
          <w:sz w:val="16"/>
          <w:szCs w:val="16"/>
          <w:rFonts w:ascii="Arial" w:hAnsi="Arial" w:cs="Arial"/>
          <w:color w:val="231f20"/>
          <w:spacing w:val="66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  HON J. A. N. De SILVA, Chief Justice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(retired on 16.5.2011)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Dr. SHIRANI A. BANDARANAYAKE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Chief Justice (appointed on 17.5.2011)</w:t>
      </w:r>
    </w:p>
    <w:p>
      <w:pPr>
        <w:spacing w:before="44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HON. SATHYA HETTIGE, President,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Court of Appeal (until 9.6.2011)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HON S. SRISKANDARAJAH President, Court of Appeal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22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(appointed on 24.6. 2011)</w:t>
      </w:r>
    </w:p>
    <w:p>
      <w:pPr>
        <w:spacing w:before="45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</w:p>
    <w:p>
      <w:pPr>
        <w:spacing w:before="4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9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L. K. WIMALACHANDRA</w:t>
      </w:r>
    </w:p>
    <w:p>
      <w:pPr>
        <w:spacing w:before="214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al" w:hAnsi="Arial" w:cs="Arial"/>
          <w:color w:val="231f20"/>
          <w:spacing w:val="1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:</w:t>
      </w:r>
      <w:r>
        <w:rPr>
          <w:sz w:val="16"/>
          <w:szCs w:val="16"/>
          <w:rFonts w:ascii="Arial" w:hAnsi="Arial" w:cs="Arial"/>
          <w:color w:val="231f20"/>
          <w:spacing w:val="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ROHAN SAHABANDU</w:t>
      </w:r>
    </w:p>
    <w:p>
      <w:pPr>
        <w:spacing w:before="1123" w:line="155" w:lineRule="exact"/>
        <w:ind w:left="2525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PUBLISHED BY THE MINISTRY OF JUSTICE</w:t>
      </w:r>
    </w:p>
    <w:p>
      <w:pPr>
        <w:spacing w:before="44" w:line="155" w:lineRule="exact"/>
        <w:ind w:left="1901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Printed at M. D. Gunasena &amp; Company Printers (Private) Ltd.</w:t>
      </w:r>
    </w:p>
    <w:p>
      <w:pPr>
        <w:spacing w:before="17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24" w:line="233" w:lineRule="exact"/>
        <w:ind w:left="3581"/>
      </w:pPr>
      <w:r>
        <w:rPr>
          <w:b w:val="true"/>
          <w:sz w:val="24"/>
          <w:szCs w:val="24"/>
          <w:rFonts w:ascii="Arial" w:hAnsi="Arial" w:cs="Arial"/>
          <w:color w:val="231f20"/>
        </w:rPr>
        <w:t xml:space="preserve">D I G E S T</w:t>
      </w:r>
    </w:p>
    <w:p>
      <w:pPr>
        <w:spacing w:before="279" w:line="194" w:lineRule="exact"/>
        <w:ind w:left="1077"/>
      </w:pPr>
      <w:r>
        <w:rPr>
          <w:b w:val="true"/>
          <w:sz w:val="20"/>
          <w:szCs w:val="20"/>
          <w:rFonts w:ascii="Arial" w:hAnsi="Arial" w:cs="Arial"/>
          <w:color w:val="231f20"/>
        </w:rPr>
        <w:t xml:space="preserve"/>
      </w:r>
      <w:r>
        <w:rPr>
          <w:b w:val="true"/>
          <w:sz w:val="20"/>
          <w:szCs w:val="20"/>
          <w:rFonts w:ascii="Arial" w:hAnsi="Arial" w:cs="Arial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al" w:hAnsi="Arial" w:cs="Arial"/>
          <w:color w:val="231f20"/>
        </w:rPr>
        <w:t xml:space="preserve">Page</w:t>
      </w:r>
    </w:p>
    <w:p>
      <w:pPr>
        <w:spacing w:before="472" w:line="163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FUNDAMENTAL RIGHTS</w:t>
      </w:r>
      <w:r>
        <w:rPr>
          <w:b w:val="true"/>
          <w:sz w:val="16"/>
          <w:szCs w:val="16"/>
          <w:rFonts w:ascii="Arial" w:hAnsi="Arial" w:cs="Arial"/>
          <w:color w:val="231f20"/>
          <w:spacing w:val="25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– Article 126 (2) of the Constitution – Where a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337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person alleges that his fundamental right has been infringed or is about</w:t>
      </w:r>
    </w:p>
    <w:p>
      <w:pPr>
        <w:spacing w:before="37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to be infringed by executive or administrative action, he may apply to</w:t>
      </w:r>
    </w:p>
    <w:p>
      <w:pPr>
        <w:spacing w:before="36" w:line="155" w:lineRule="exact"/>
        <w:ind w:left="14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the Supreme Court within one month thereof, for relief or redress, by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way of petition.</w:t>
      </w:r>
    </w:p>
    <w:p>
      <w:pPr>
        <w:spacing w:before="149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Wjesekera And 14 Others v. Gamini Lokuge, Minister of Sports and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Public Recreation &amp; 20 Others</w:t>
      </w:r>
    </w:p>
    <w:p>
      <w:pPr>
        <w:spacing w:before="310" w:line="16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TRUSTS ORDINANCE –</w:t>
      </w:r>
      <w:r>
        <w:rPr>
          <w:b w:val="true"/>
          <w:sz w:val="16"/>
          <w:szCs w:val="16"/>
          <w:rFonts w:ascii="Arial" w:hAnsi="Arial" w:cs="Arial"/>
          <w:color w:val="231f20"/>
          <w:spacing w:val="-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4(1) – A trust may be created for any lawful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340</w:t>
      </w:r>
    </w:p>
    <w:p>
      <w:pPr>
        <w:spacing w:before="35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purpose – Section 98 – Saving rights of bona fide purchasers – Finance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Act – Sections 58(A), 59 – Recovery of the tax deemed to be in default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– In pari delicto potior est condition defendantis.</w:t>
      </w:r>
    </w:p>
    <w:p>
      <w:pPr>
        <w:spacing w:before="137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Saroja Nisansala v. Aberfoyle</w:t>
      </w:r>
    </w:p>
    <w:p>
      <w:pPr>
        <w:spacing w:before="303" w:line="166" w:lineRule="exact"/>
        <w:ind w:left="1077"/>
      </w:pPr>
      <w:r>
        <w:rPr>
          <w:b w:val="true"/>
          <w:spacing w:val="6"/>
          <w:sz w:val="16"/>
          <w:szCs w:val="16"/>
          <w:rFonts w:ascii="Arial" w:hAnsi="Arial" w:cs="Arial"/>
          <w:color w:val="231f20"/>
        </w:rPr>
        <w:t xml:space="preserve">WRIT OF MANDAMUS –</w:t>
      </w:r>
      <w:r>
        <w:rPr>
          <w:b w:val="true"/>
          <w:sz w:val="16"/>
          <w:szCs w:val="16"/>
          <w:rFonts w:ascii="Arial" w:hAnsi="Arial" w:cs="Arial"/>
          <w:color w:val="231f20"/>
          <w:spacing w:val="41"/>
        </w:rPr>
        <w:t xml:space="preserve"> </w:t>
      </w:r>
      <w:r>
        <w:rPr>
          <w:spacing w:val="4"/>
          <w:sz w:val="16"/>
          <w:szCs w:val="16"/>
          <w:rFonts w:ascii="Arial" w:hAnsi="Arial" w:cs="Arial"/>
          <w:color w:val="231f20"/>
        </w:rPr>
        <w:t xml:space="preserve">Environmental Impact, –  Assessment Report</w:t>
      </w:r>
      <w:r>
        <w:rPr>
          <w:sz w:val="16"/>
          <w:szCs w:val="16"/>
          <w:rFonts w:ascii="Arial" w:hAnsi="Arial" w:cs="Arial"/>
          <w:color w:val="231f20"/>
          <w:spacing w:val="290"/>
        </w:rPr>
        <w:t xml:space="preserve"> </w:t>
      </w:r>
      <w:r>
        <w:rPr>
          <w:sz w:val="17"/>
          <w:szCs w:val="17"/>
          <w:rFonts w:ascii="Arial" w:hAnsi="Arial" w:cs="Arial"/>
          <w:color w:val="231f20"/>
        </w:rPr>
        <w:t xml:space="preserve">354</w:t>
      </w:r>
    </w:p>
    <w:p>
      <w:pPr>
        <w:spacing w:before="36" w:line="155" w:lineRule="exact"/>
        <w:ind w:left="14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[EIAR] - Not approved-National Environmental Act [NEA] 47 of 1980</w:t>
      </w:r>
    </w:p>
    <w:p>
      <w:pPr>
        <w:spacing w:before="36" w:line="155" w:lineRule="exact"/>
        <w:ind w:left="1477"/>
      </w:pPr>
      <w:r>
        <w:rPr>
          <w:spacing w:val="6"/>
          <w:sz w:val="16"/>
          <w:szCs w:val="16"/>
          <w:rFonts w:ascii="Arial" w:hAnsi="Arial" w:cs="Arial"/>
          <w:color w:val="231f20"/>
        </w:rPr>
        <w:t xml:space="preserve">as amended – Mines and Minerals Act 33 of 1997 – Section 30 –</w:t>
      </w:r>
    </w:p>
    <w:p>
      <w:pPr>
        <w:spacing w:before="36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Industrial Mining Licence? – Non compliance with regulation – Breach</w:t>
      </w:r>
    </w:p>
    <w:p>
      <w:pPr>
        <w:spacing w:before="37" w:line="155" w:lineRule="exact"/>
        <w:ind w:left="1477"/>
      </w:pPr>
      <w:r>
        <w:rPr>
          <w:sz w:val="16"/>
          <w:szCs w:val="16"/>
          <w:rFonts w:ascii="Arial" w:hAnsi="Arial" w:cs="Arial"/>
          <w:color w:val="231f20"/>
        </w:rPr>
        <w:t xml:space="preserve">of statutory duty – Unfairness – Abuse of power?</w:t>
      </w:r>
    </w:p>
    <w:p>
      <w:pPr>
        <w:spacing w:before="149" w:line="155" w:lineRule="exact"/>
        <w:ind w:left="1077"/>
      </w:pPr>
      <w:r>
        <w:rPr>
          <w:sz w:val="16"/>
          <w:szCs w:val="16"/>
          <w:rFonts w:ascii="Arial" w:hAnsi="Arial" w:cs="Arial"/>
          <w:color w:val="231f20"/>
        </w:rPr>
        <w:t xml:space="preserve"/>
      </w:r>
      <w:r>
        <w:rPr>
          <w:sz w:val="16"/>
          <w:szCs w:val="16"/>
          <w:rFonts w:ascii="Arial" w:hAnsi="Arial" w:cs="Arial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Dissanayake and others [Uva Magnettetle] vs.  Geological Survey</w:t>
      </w:r>
    </w:p>
    <w:p>
      <w:pPr>
        <w:spacing w:before="36" w:line="155" w:lineRule="exact"/>
        <w:ind w:left="14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>and Mines Bureau and others</w:t>
      </w:r>
    </w:p>
    <w:p>
      <w:pPr>
        <w:spacing w:before="92" w:line="155" w:lineRule="exact"/>
        <w:ind w:left="1077"/>
      </w:pPr>
      <w:r>
        <w:rPr>
          <w:b w:val="true"/>
          <w:sz w:val="16"/>
          <w:szCs w:val="16"/>
          <w:rFonts w:ascii="Arial" w:hAnsi="Arial" w:cs="Arial"/>
          <w:color w:val="231f20"/>
        </w:rPr>
        <w:t xml:space="preserve"/>
      </w:r>
      <w:r>
        <w:rPr>
          <w:b w:val="true"/>
          <w:sz w:val="16"/>
          <w:szCs w:val="16"/>
          <w:rFonts w:ascii="Arial" w:hAnsi="Arial" w:cs="Arial"/>
          <w:color w:val="231f20"/>
          <w:spacing w:val="232"/>
        </w:rPr>
        <w:t xml:space="preserve"> </w:t>
      </w:r>
      <w:r>
        <w:rPr>
          <w:b w:val="true"/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Continued in Part 14)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4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  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4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337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Kottabadu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Durage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Sriyani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Chanaka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Idda-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malgoda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standing was given under Article 126 to the wife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deceased. In its frst order dealing with two prelimi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nary objections, this court stated that every right must have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remedy and that it would be absurd to contend that a right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ceased and became ineffective due to death, as was alleged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the Respondent in that case.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Kottabadu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 observed that a literal interpretation of the Constitu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must be avoided if it were to produce such an ‘absurd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result’. Accordingly, in its fnal order in the same case this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 stated that the right to life was implicitly recognized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Constitution, especially under Article 13(4). Here this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was of the opinion that where an infringement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 to  life  was  concerned  the  Court  must  interpret  the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word ‘person; contained in Article 126(2) broadly, so as to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include even an heir or dependent of the person who had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put to death.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Accordingly, the opinion of this Court is that, in light of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aforesaid developments as regards to standing or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fundamental rights Applications, the interest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 mandates this Court’s focus on the potential injustice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canvassed by the applicant, and not on the interest of the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applicant and, therefore, in light of the foregoing case law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fnds that so long as the applicant of a fundamen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tal rights Application comes before this Court in good faith,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 matter or matters affecting a broad spectrum of people,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where special and or exceptional circumstances exist,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such as where the matter impacts, as is alleged in this case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– that it is a matter of paramount importance to the youth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who are involved in sports in this country (especially where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Court is the upper guardian of the children and young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persons) – standing is to be allowed. Applying this princi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 to the present case, this Court fnds that the substantive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injustice a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lleged to have been suffered upon the Petitioners</w:t>
      </w:r>
    </w:p>
    <w:p>
      <w:pPr>
        <w:spacing w:before="30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this Application warrants this Court’s review of it.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Locus</w:t>
      </w:r>
    </w:p>
    <w:p>
      <w:pPr>
        <w:spacing w:before="3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standi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exists.</w:t>
      </w:r>
    </w:p>
    <w:p>
      <w:pPr>
        <w:spacing w:before="228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Petitioners in their fundamental rights Application</w:t>
      </w:r>
    </w:p>
    <w:p>
      <w:pPr>
        <w:spacing w:before="30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claim that the Order marked “P6” dissolving the Sri Lanka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Rugby Federal Union and failing to appoint the Petitioner to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post of Captain of the Sri Lankan team that toured Dubai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Asian Five Nations Rugby Tournament is an infringement</w:t>
      </w:r>
    </w:p>
    <w:p>
      <w:pPr>
        <w:spacing w:before="0" w:line="18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Fundamental Right guaranteed under</w:t>
      </w:r>
    </w:p>
    <w:p>
      <w:pPr>
        <w:spacing w:before="12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 (1) (g) of the Constitution, the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“freedom to engage by him-</w:t>
      </w:r>
    </w:p>
    <w:p>
      <w:pPr>
        <w:spacing w:before="3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self or in association with others in any lawful occupation, pro-</w:t>
      </w:r>
    </w:p>
    <w:p>
      <w:pPr>
        <w:spacing w:before="3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fession, trade, or Enterprise.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” The Respondents, emphatically</w:t>
      </w:r>
    </w:p>
    <w:p>
      <w:pPr>
        <w:spacing w:before="30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state that the Petitioners have failed to establish before this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that the aforesaid Fundamental Right of the Petitioners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have, in fact, been violated.</w:t>
      </w:r>
    </w:p>
    <w:p>
      <w:pPr>
        <w:spacing w:before="228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regards to the case law preferred above, when taken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abovementioned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</w:t>
      </w:r>
    </w:p>
    <w:p>
      <w:pPr>
        <w:spacing w:before="30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latitude to determine inquiry to be in the best interest of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justice,  especially  in  a  matter  like  this  which  affects  the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future of sports which involves, its discipline and the aspira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0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tions of young persons, this Court holds that the Petition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ers have provided in its pleadings matters that need to be at</w:t>
      </w:r>
    </w:p>
    <w:p>
      <w:pPr>
        <w:spacing w:before="30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least considered relating to whether Petitioners are entitled</w:t>
      </w:r>
    </w:p>
    <w:p>
      <w:pPr>
        <w:spacing w:before="30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relief from violation of their Fundamental Rights guaran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teed by Articles 12(1), 12(2) and 14(1)(g). Therefore this Court</w:t>
      </w:r>
    </w:p>
    <w:p>
      <w:pPr>
        <w:spacing w:before="30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holds that the Petitioner should be given the opportunity to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heard before this Court on whether there has been a viola-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his Fundamental Rights guaranteed by Articles 12(1),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12(2) and 14(1)(g) of the Constitution.</w:t>
      </w:r>
    </w:p>
    <w:p>
      <w:pPr>
        <w:spacing w:before="22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seriously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 before  they  are  brushed  off</w:t>
      </w:r>
      <w:r>
        <w:rPr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 limine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opportunity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unfold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narrative of events. This is particularly so where the claimed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89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Wijesekera And 14 Others v. Gamini Lokuge, Minister of Sports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493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and Public Recreation &amp; 20 Others  (Shiranee Tilakawardane,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4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 of  parties  have  purportedly  been  manipulated  and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have not been afforded the opportunity to be considered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equally, objectively and impartially in the decision making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process of an organization. The common aspirations of all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beings to be enshrouded in the cloak of their guaranteed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self-dignity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shorn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capricious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arbitrary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 decision-making  cannot  impact  upon  the  legitimate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expectations of a community of people to be considered on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basic premise that every being has a right to the paradigm of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being considered equally, especially before the law, and not be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subjected  to  discrimination,  bias,  unfair  decision  making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the executive. The rule of law is and must after all be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characterized with the principles of supremacy of the law,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quality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accountability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certainty, procedure and legal transparency, equal and open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access to justice to all, irrespective of gender, race, religion,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class, creed or other status.</w:t>
      </w:r>
    </w:p>
    <w:p>
      <w:pPr>
        <w:spacing w:before="24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light of the aforesaid, preliminary objections raised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hereby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dismissed. Case is to be fxed for support.</w:t>
      </w:r>
    </w:p>
    <w:p>
      <w:pPr>
        <w:spacing w:before="24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</w:t>
      </w:r>
    </w:p>
    <w:p>
      <w:pPr>
        <w:spacing w:before="241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SureSh Chandra,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</w:t>
      </w:r>
    </w:p>
    <w:p>
      <w:pPr>
        <w:spacing w:before="2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Preliminary objections overruled.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2332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SAROJA NISANSALA v. ABERFOYLE</w:t>
      </w:r>
    </w:p>
    <w:p>
      <w:pPr>
        <w:spacing w:before="57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 CJ.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SRIPAvAN, J. AND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(APPeAL) NO, 82/2009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S.C(H.C.) C.A.L.A. NO. 35/2009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SP/HCCA/kAG/248/2007(F)</w:t>
      </w:r>
    </w:p>
    <w:p>
      <w:pPr>
        <w:spacing w:before="1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 mAwANeLLA NO. 529/L</w:t>
      </w:r>
    </w:p>
    <w:p>
      <w:pPr>
        <w:spacing w:before="0" w:line="15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10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22" w:line="211" w:lineRule="exact"/>
        <w:ind w:left="1077"/>
      </w:pPr>
      <w:r>
        <w:rPr>
          <w:b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Trusts Ordinance – Section 4(1) – a trust may be created for any</w:t>
      </w:r>
    </w:p>
    <w:p>
      <w:pPr>
        <w:spacing w:before="1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lawful purpose – Section 98 – Saving rights of bona fde purchasers</w:t>
      </w:r>
    </w:p>
    <w:p>
      <w:pPr>
        <w:spacing w:before="16" w:line="211" w:lineRule="exact"/>
        <w:ind w:left="1077"/>
      </w:pPr>
      <w:r>
        <w:rPr>
          <w:b w:val="true"/>
          <w:spacing w:val="-5"/>
          <w:sz w:val="18"/>
          <w:szCs w:val="18"/>
          <w:rFonts w:ascii="DejaVu Serif" w:hAnsi="DejaVu Serif" w:cs="DejaVu Serif"/>
          <w:color w:val="231f20"/>
        </w:rPr>
        <w:t xml:space="preserve">– Finance act – Sections 58(a), 59 – recovery of the tax deemed to</w:t>
      </w:r>
    </w:p>
    <w:p>
      <w:pPr>
        <w:spacing w:before="1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be in default – In pari delicto potior est condition defendantis.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appeal was agued on the basis of the following questions: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Could the Plaintiff – Respondent in the circumstances of the case,</w:t>
      </w:r>
    </w:p>
    <w:p>
      <w:pPr>
        <w:spacing w:before="1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plead a constructive trust?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Is the trust alleged by the Plaintiff – Respondent contrary to the</w:t>
      </w:r>
    </w:p>
    <w:p>
      <w:pPr>
        <w:spacing w:before="1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provisions in Sections 4(1) and 98 of the Trust Ordinance?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two questions referred to above indicate that the issue in question</w:t>
      </w:r>
    </w:p>
    <w:p>
      <w:pPr>
        <w:spacing w:before="1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is as to whether a purchase of a property by a third party for and on</w:t>
      </w:r>
    </w:p>
    <w:p>
      <w:pPr>
        <w:spacing w:before="16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behalf of a foreigner allegedly in order to evade the payment of 100% tax</w:t>
      </w:r>
    </w:p>
    <w:p>
      <w:pPr>
        <w:spacing w:before="1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on the sale, could create a constructive trust on the basis of Sections</w:t>
      </w:r>
    </w:p>
    <w:p>
      <w:pPr>
        <w:spacing w:before="0" w:line="22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4(1) and 98 of the Trust Ordinance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8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 material had been adduced before the Court to show that the</w:t>
      </w:r>
    </w:p>
    <w:p>
      <w:pPr>
        <w:spacing w:before="1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transaction in question had been for an unlawful purpose in terms</w:t>
      </w:r>
    </w:p>
    <w:p>
      <w:pPr>
        <w:spacing w:before="1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Section 4(1) of the Trusts Ordinance.</w:t>
      </w:r>
    </w:p>
    <w:p>
      <w:pPr>
        <w:spacing w:before="18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58(1)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read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59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Finance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</w:t>
      </w:r>
      <w:r>
        <w:rPr>
          <w:sz w:val="18"/>
          <w:szCs w:val="18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1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imposed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tax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expowered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Commissioner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Inland</w:t>
      </w:r>
    </w:p>
    <w:p>
      <w:pPr>
        <w:spacing w:before="1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Revenue</w:t>
      </w:r>
      <w:r>
        <w:rPr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to recover the tax if in default due to the non-payment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person/s from whom it has become due.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341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– Respondent could in the circumstances of the case,</w:t>
      </w:r>
    </w:p>
    <w:p>
      <w:pPr>
        <w:spacing w:before="3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plead a constructive trust and the trust alleged by the Plaintiff-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is not contrary to the provisions in Sections 4(1) and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98 of the Trust Ordinance.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unlawful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intention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bilaterally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entertained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longer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absolute bar to restitution.</w:t>
      </w:r>
    </w:p>
    <w:p>
      <w:pPr>
        <w:spacing w:before="2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Muniyandy Natchie v. Kayambo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(1988) 2 CALR 56 (affrmed)</w:t>
      </w:r>
    </w:p>
    <w:p>
      <w:pPr>
        <w:spacing w:before="1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v. Ramanathan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(1913) NLR 337</w:t>
      </w:r>
    </w:p>
    <w:p>
      <w:pPr>
        <w:spacing w:before="1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Mohideen v. Saibo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(1913) 17 NLR 17</w:t>
      </w:r>
    </w:p>
    <w:p>
      <w:pPr>
        <w:spacing w:before="1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Georgiades v. Klompje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(1943) TPD 15</w:t>
      </w:r>
    </w:p>
    <w:p>
      <w:pPr>
        <w:spacing w:before="204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Provincial High Court (Civil Appeal)</w:t>
      </w:r>
    </w:p>
    <w:p>
      <w:pPr>
        <w:spacing w:before="3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Sabaragamuwa Province holden in kegalle.</w:t>
      </w:r>
    </w:p>
    <w:p>
      <w:pPr>
        <w:spacing w:before="2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 Sahabandu for the Defendant – Appellant – Appellant</w:t>
      </w:r>
    </w:p>
    <w:p>
      <w:pPr>
        <w:spacing w:before="14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P.K.T. Perera for the Plaintiff – Respondent – Respondent</w:t>
      </w:r>
    </w:p>
    <w:p>
      <w:pPr>
        <w:spacing w:before="198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66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</w:t>
      </w:r>
    </w:p>
    <w:p>
      <w:pPr>
        <w:spacing w:before="210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CJ.</w:t>
      </w:r>
    </w:p>
    <w:p>
      <w:pPr>
        <w:spacing w:before="233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Provincial High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(Civil Appeal) of the Sabaragamuwa Province holden in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kegalle dated 27.01.2009. By that judgment learned Judges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High Court had dismissed the appeal of the defendant-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appellant-appellant (hereinafter referred to as the appellant)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affrmed the judgment of the learned District Judge of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mawanella dated 03.09.2004, which had granted the reliefs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prayed  for  by  the  plaintiff-respondent-respondent  (herein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referred to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the plaintiff-respondent). The appellant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 an application before this Court for which leave to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was granted.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stage of hearing both learned Counsel agreed that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appeal could be argued on the basis of the following ques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Could the plaintiff-respondent in the circumstances of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case, plead a constructive trust?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the trust alleged by the plaintiff-respondent contrary to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in section 4(1) and 98 of the Trusts Ordi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nance?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facts of this appeal, as submitted by the appellant,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albeit brief, are as follows:</w:t>
      </w:r>
    </w:p>
    <w:p>
      <w:pPr>
        <w:spacing w:before="25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appellant had been in Dubai where she had been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working in several houses on an hourly basis and had stayed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plaintiff-respondent’s house. At the place she had not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paid any rent, and in lieu of rent she had helped to clean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garden for two hours which belonged to the plaintiff-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 The appellant submitted that, during that period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plaintiff-respondent had a close intimacy with the appel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lant. when the appellant returned to Sri Lanka, the plaintiff-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had agreed to purchase a land and a house for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 and he had accordingly carried out the said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purchase and had gifted it to her. The appellant further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mitted that the plaintiff-respondent had purchased the said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 for the beneft of the appellant.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plaintiff-respondent  contended  that  the  appellant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worked for him as a domestic-aid and he had given her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money to purchase a property on his behalf. He further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343</w:t>
      </w:r>
    </w:p>
    <w:p>
      <w:pPr>
        <w:spacing w:before="38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contended that he had no intention to grant the benefcial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interest  of  the  property  in  question  to  the  appellant  and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she holds the land in trust in favour of the plaintiff-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respondent. It was also submitted that the plaintiff-respon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dent had requested the appellant through his nominee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 the said land, which had been refused by the appel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 and that since 01.06.1998, she had been in possession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 land.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stated the facts of this appeal and the position of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appellant and the plaintiff-respondent, let me now turn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consider the two questions on which leave to appeal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 by this Court.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two questions referred to earlier, clearly indicate that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issue in question is as to whether a purchase of a prop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erty by a third party for and on behalf of a foreigner, allegedly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to evade the payment of 100% tax on the sale, could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create a constructive trust on the basis of sections 4(1) and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98 of the Trust Ordinance.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land in question was bought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name of the appellant. It is also not disputed that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proceeds for the purchase of the said land was provided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the plaintiff-respondent. The contention of the learned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for the appellant was that at the time the appellant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returned to Sri Lanka, the plaintiff-respondent had agreed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purchase a property for her and therefore the said purchase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a  gift  from  the  plaintiff-respondent  to  the  appellant.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plaintiff-respondent relied 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documents marked as P1 and P2 and contended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funds for the purchase of the land belonged to the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plaintiff-respondent as he had obtained money from a joint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account he had with his wife and to show her that it was a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different transaction he had obtained the appellant’s signa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ture to a letter whereby she had agreed to re-transfer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 to a nominee of the plaintiff-respondent. The appellant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submitted that a copy of the said letter was not given to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25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appellant had stated that she had never promised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transfer the land in the name of the plaintiff-respondent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she had spent over Rs. 2,000,000/- to renovate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house. She had also cultivated the land in question and she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had assessed the improvements made to the house and to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land for Rs. 3,000,000/-.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plaintiff-respondent stated that the land in dispute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purchased in the name of the appellant by Deed No. 386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dated 12.07.2004 attested by S.L.m. Halish, Notary Public.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had paid the consideration amounting to Rs. 2,760,000/-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referred to in the Deed and also had paid Rs. 170,662.50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survey fees, Notaries fees and Stamp Duty etc. It was also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that he had purchased the said land in the name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appellant as since he is a foreigner he would have to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pay 100% as Tax. His intention was to form a company in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Sri Lanka and thereafter to transfer the said land in the name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company. He had not been able to form a company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the approval of the Board of Investment of Sri Lanka.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obtained a letter from the appellant agreeing to re-transfer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in question either to the plaintiff-respondent 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his nominee.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 P1 is the Deed of Transfer No. 386, dated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01.06.1998 attested by S.L.m. Halish, Notary Public.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schedule to the 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aid Deed refers to lots 1, 2, 3 and 4 in Plan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No. 3851, dated 09.07.1993 made by k.S. Panditharatne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kegalle, Licensed Surveyor.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 P2 dated 29.05.1998 is an undertaking by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appellant to transfer the land either in the name of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company to be incorporated in Sri Lanka or in the name of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any person nominated by the plaintiff-respondent.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 is as follows:</w:t>
      </w:r>
    </w:p>
    <w:p>
      <w:pPr>
        <w:spacing w:before="1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“29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1998</w:t>
      </w:r>
    </w:p>
    <w:p>
      <w:pPr>
        <w:spacing w:before="33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I,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b w:val="true"/>
          <w:spacing w:val="23"/>
          <w:sz w:val="21"/>
          <w:szCs w:val="21"/>
          <w:rFonts w:ascii="Bookman Old Style" w:hAnsi="Bookman Old Style" w:cs="Bookman Old Style"/>
          <w:color w:val="231f20"/>
        </w:rPr>
        <w:t xml:space="preserve">deeraSIng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b w:val="true"/>
          <w:spacing w:val="22"/>
          <w:sz w:val="21"/>
          <w:szCs w:val="21"/>
          <w:rFonts w:ascii="Bookman Old Style" w:hAnsi="Bookman Old Style" w:cs="Bookman Old Style"/>
          <w:color w:val="231f20"/>
        </w:rPr>
        <w:t xml:space="preserve">araCChIge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SarOJa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nISanSala</w:t>
      </w:r>
    </w:p>
    <w:p>
      <w:pPr>
        <w:spacing w:before="4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“kumari”, Attangalle Road, Nittambuwa, do hereby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declare and state that I received a sum of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rupeeS TwO</w:t>
      </w:r>
    </w:p>
    <w:p>
      <w:pPr>
        <w:spacing w:before="45" w:line="246" w:lineRule="exact"/>
        <w:ind w:left="1508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mIllIOn Seven hundred and SIxTy ThOuSand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(Rs.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2,760,000/-)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JOhn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b w:val="true"/>
          <w:spacing w:val="28"/>
          <w:sz w:val="21"/>
          <w:szCs w:val="21"/>
          <w:rFonts w:ascii="Bookman Old Style" w:hAnsi="Bookman Old Style" w:cs="Bookman Old Style"/>
          <w:color w:val="231f20"/>
        </w:rPr>
        <w:t xml:space="preserve">lawrenCe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rOSe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5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Ducab, Dubai Cable Company Limited, Dubai to purchase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land, on behalf of the said</w:t>
      </w:r>
      <w:r>
        <w:rPr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JOhn lawrenCe rOSe,</w:t>
      </w:r>
    </w:p>
    <w:p>
      <w:pPr>
        <w:spacing w:before="4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 Gonawala and depicted as Lots 1, 2, 3 and 4 in Plan</w:t>
      </w:r>
    </w:p>
    <w:p>
      <w:pPr>
        <w:spacing w:before="4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No. 3851 dated 9.7.1993 made by k.S. Panditharatne,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Licensed Surveyor.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further undertake and agree that, on the instructions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b w:val="true"/>
          <w:spacing w:val="19"/>
          <w:sz w:val="21"/>
          <w:szCs w:val="21"/>
          <w:rFonts w:ascii="Bookman Old Style" w:hAnsi="Bookman Old Style" w:cs="Bookman Old Style"/>
          <w:color w:val="231f20"/>
        </w:rPr>
        <w:t xml:space="preserve">JOhn lawrenCe rOSe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to transfer the said</w:t>
      </w:r>
    </w:p>
    <w:p>
      <w:pPr>
        <w:spacing w:before="4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land in the name of the company to be incorporated in</w:t>
      </w:r>
    </w:p>
    <w:p>
      <w:pPr>
        <w:spacing w:before="4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Sri Lanka or in the name of any persons nominated by</w:t>
      </w:r>
    </w:p>
    <w:p>
      <w:pPr>
        <w:spacing w:before="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JOhn lawrenCe rOSe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on the basis of the aforementioned document that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plaintiff-respondent had pleaded a constructive trust. A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trust creates a situation where one person holds property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the beneft of another. Describing the concept of trust,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Dr. L.J.m. Cooray refers to the defnition given by keeton,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(Trust, 1971, Pg. 13), which is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relationship which arises wherever a person called</w:t>
      </w:r>
    </w:p>
    <w:p>
      <w:pPr>
        <w:spacing w:before="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trustee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equity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property,</w:t>
      </w:r>
    </w:p>
    <w:p>
      <w:pPr>
        <w:spacing w:before="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whether real or personal, and whether by legal or equi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table title for the beneft of some persons (of whom he</w:t>
      </w:r>
    </w:p>
    <w:p>
      <w:pPr>
        <w:spacing w:before="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be one and who are termed cestuis que trust) or for</w:t>
      </w:r>
    </w:p>
    <w:p>
      <w:pPr>
        <w:spacing w:before="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object permitted by law, in such a way that the real</w:t>
      </w:r>
    </w:p>
    <w:p>
      <w:pPr>
        <w:spacing w:before="6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beneft of the property accrues not to the trustee but to</w:t>
      </w:r>
    </w:p>
    <w:p>
      <w:pPr>
        <w:spacing w:before="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benefciaries or other objects of the trust.”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appellant contended that,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sidering the provisions contained in sections 4 and 98 of the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Trusts Ordinance, the transaction in this appeal cannot be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treated as one, which created a trust. It was also submitted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District Court of mawanella as well as the Provincial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had erred in law on this issue and that the deci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 Natchie v. Kayambo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which reliance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placed by both Courts, was wrongly decided.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 of the Trusts Ordinance is contained in Chap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 II of the said Ordinance, which deals with the creation of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Trusts. Section 4(1), which deals with lawful purpose is 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</w:t>
      </w:r>
    </w:p>
    <w:p>
      <w:pPr>
        <w:spacing w:before="259" w:line="246" w:lineRule="exact"/>
        <w:ind w:left="1508"/>
      </w:pP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“A trust may be created for any lawful purpose. The pur-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pose of a trust is lawful, unless it is –</w:t>
      </w:r>
    </w:p>
    <w:p>
      <w:pPr>
        <w:spacing w:before="2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forbidden by law, or</w:t>
      </w:r>
    </w:p>
    <w:p>
      <w:pPr>
        <w:spacing w:before="17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of such a nature that, if permitted, it would defeat the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provisions of any law, or</w:t>
      </w:r>
    </w:p>
    <w:p>
      <w:pPr>
        <w:spacing w:before="17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 fraudulent, or</w:t>
      </w:r>
    </w:p>
    <w:p>
      <w:pPr>
        <w:spacing w:before="17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involves  or  implies  injury  to  the  person  or  property  of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another 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347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regards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immoral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opposed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</w:p>
    <w:p>
      <w:pPr>
        <w:spacing w:before="5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policy.”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98 of the Trusts Ordinance refers to the saving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of bona fde purchasers and reads as follows: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“Nothing contained in this Chapter shall impair the rights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transferees in good faith for valuable consideration, or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create an obligation in evasion of any law for the time be-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ing in force.”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98 of the Trusts Ordinance, it is to be borne in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mind, is contained in Chapter IX of the Trusts Ordinance,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deals with Constructive Trusts.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appellant strenuously contended</w:t>
      </w:r>
    </w:p>
    <w:p>
      <w:pPr>
        <w:spacing w:before="5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that, the plaintiff-respondent’s action, clearly indicates that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 is a breach of Revenue Law and therefore the 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dent cannot seek relief under the Trusts Ordinance. As stated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earlier, section 4(1) of the Trusts Ordinance is specifc with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regard to the creation of Trusts, which could be for any lawful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purpose. The said section has clearly defned the instances,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 trust could be regarded as unlawful. In such circum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stances, what is necessary is to examine as to the steps tak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 by the plaintiff-respondent and whether they would come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 the purview of section 4(1) of the Trusts Ordinance.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plaintiff-respondent had sent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money for the appellant to purchase the property in her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contention of the plaintiff-respondent was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 for the said decision was to avoid the payment of tax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imposed under the Finance Act. Learned Counsel for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appellant contended that both the District Court and the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High Court had held that the breach of Revenue Law is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 the contemplation of sections 4(1) and 98 of the Trusts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Ordinance and as stated earlier that both Courts had erred</w:t>
      </w:r>
    </w:p>
    <w:p>
      <w:pPr>
        <w:spacing w:before="5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they had relied on</w:t>
      </w:r>
      <w:r>
        <w:rPr>
          <w:sz w:val="21"/>
          <w:szCs w:val="21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case, which had been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wrongly decided.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light  of  the  above,  it  is  necessary  to  consider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whether the transaction in question could be treated as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 transaction.</w:t>
      </w:r>
    </w:p>
    <w:p>
      <w:pPr>
        <w:spacing w:before="25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Dr.L.J.m. Cooray in his work on the subject of Trust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(Trust, L.J.m. Cooray, pg. 91) has discussed the nature of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 trust. According to Dr. Cooray, if sections 4 and 98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Trusts Ordinance had been omitted, the general law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the land would have prevented the operation of trusts for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unlawful purposes. Referring to trusts for unlawful purpos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es, Dr. Cooray refers to Prof. weeramantry’s Treatise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of Contracts (The Law of Contracts, vol. 1). Prof. weera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mantry, referring to the breach of revenue regulations clearly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states that the mere breach of revenue regulations would not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itself render illegal a contract in respect of which they are im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posed (The Law of Contract, vol.1, Pg. 340). It could also be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argued that what the plaintiff-respondent intended by pur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chasing the property in the name of the appellant was not to</w:t>
      </w:r>
    </w:p>
    <w:p>
      <w:pPr>
        <w:spacing w:before="5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breach the revenue legislation, as in any event, at the stage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re-transfer and at the stage of registration of the said land,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plaintiff-respondent would have to make the payment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tax in terms of the Finance Act.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invalid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simply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illegality.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Ramanathan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Full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Bench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time,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invalid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ground of illegality because it is contrary to what may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termed the policy of an Ordinance. Considering the im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plied statutory prohibitions, Prof. weeramantry (supra, pg.</w:t>
      </w:r>
    </w:p>
    <w:p>
      <w:pPr>
        <w:spacing w:before="0" w:line="205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337) has referred to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Mohideen v. Saibo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8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Georgiades v. Klompje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Pollock (13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edition, pg 275)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had stated thus: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statute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merely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penalty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performance of certain acts without declaring such acts</w:t>
      </w:r>
    </w:p>
    <w:p>
      <w:pPr>
        <w:spacing w:before="49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to be illegal or void, the question arises whether such acts</w:t>
      </w:r>
    </w:p>
    <w:p>
      <w:pPr>
        <w:spacing w:before="49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are void. In such cases we must look to the intention of the</w:t>
      </w:r>
    </w:p>
    <w:p>
      <w:pPr>
        <w:spacing w:before="4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legislature to see whether the imposition of the penalty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implies such a prohibition as to make the resulting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tract void. The imposition by the legislature of a penalty</w:t>
      </w:r>
    </w:p>
    <w:p>
      <w:pPr>
        <w:spacing w:before="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any specifc act or omission is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prima facie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equivalent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Pollock to an express prohibition. Such 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vision is however, only prima facie evidence and is not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enough by itself to make a contract to do that act illegal</w:t>
      </w:r>
    </w:p>
    <w:p>
      <w:pPr>
        <w:spacing w:before="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void.”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for the appellant as well as the plaintiff-respondent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apparent that no arguments were put forward by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that if it was allowed, the transaction which took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plaintiff-respondent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defeat the provisions of any law. Similarly no material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was put forward to substantiate the fact that the said transac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is not one which is forbidden by law, fraudulent, involves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implies injury to the person or property of another and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regards it as immoral or opposed to public policy.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section 4(1) of the Trusts 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rdinance there is no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possibility of relying on a Trust, when the purpose is illegal.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Section 4(1) of the Trusts Ordinance as stated earlier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clearly refers to the fact that a trust may be created for any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lawful purpose. The unlawful purposes, which would forbid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Trust being created, are specifcally referred to in section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4(1). Learned Counsel for the appellant took up the position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intention to avoid the payment of 100% as tax on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land transaction would clearly show the objective of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plaintiff-respondent’s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unlawful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alone cannot make the contract illegal. Referring to unlaw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ful intentions, Prof. G. L. Peiris (Some Aspects of the Law of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Unjust enrichment in South Africa and Ceylon, pp. 72-73)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states that,</w:t>
      </w:r>
    </w:p>
    <w:p>
      <w:pPr>
        <w:spacing w:before="2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“A signifcant development in the modern law is that an</w:t>
      </w:r>
    </w:p>
    <w:p>
      <w:pPr>
        <w:spacing w:before="6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unlawful intention, bilaterally entertained, is no longer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obsolute bar to restitution. This principle was recog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nized for South African law in 1939 in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Jajbhay v. Cassim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Stratford, C.J. declared that “the rule expressed in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maxim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 pari delicto potior est condition defendentis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not one that can or ought to be applied in all cases. . .</w:t>
      </w:r>
    </w:p>
    <w:p>
      <w:pPr>
        <w:spacing w:before="6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subject to exceptions which, in each case, must be</w:t>
      </w:r>
    </w:p>
    <w:p>
      <w:pPr>
        <w:spacing w:before="6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found to exist only by regard to the principle of public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policy.” watermayer, J.A. said: “the principle underlying</w:t>
      </w:r>
    </w:p>
    <w:p>
      <w:pPr>
        <w:spacing w:before="6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general rule is that the Court will discourage illegal</w:t>
      </w:r>
    </w:p>
    <w:p>
      <w:pPr>
        <w:spacing w:before="6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transactions, but the exceptions show that where it is</w:t>
      </w:r>
    </w:p>
    <w:p>
      <w:pPr>
        <w:spacing w:before="6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necessary to prevent injustice or to promote public pol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icy, they will not rightly enforce the rule.” This view has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authoritatively accepted as applicable to the law of</w:t>
      </w:r>
    </w:p>
    <w:p>
      <w:pPr>
        <w:spacing w:before="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Ceylon.”</w:t>
      </w:r>
    </w:p>
    <w:p>
      <w:pPr>
        <w:spacing w:before="26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It is therefore evident that, no material had been adduced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before this Court to show that the transaction in question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for an 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nlawful purpose in terms of section 4(1) of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Trusts Ordinance.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appellant strenuously contend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wrongly decided for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 that the transaction in issue cannot be called a trust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view of sections 4(2) and 98 of the Trusts Ordinance. In</w:t>
      </w:r>
    </w:p>
    <w:p>
      <w:pPr>
        <w:spacing w:before="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(supra) the plaintiffs-respondents desired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own property that was sold through the estate Fragmen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tation Board. They were both persons whose application for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citizenship in Sri Lanka were being fnalized by the Register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Authorities of the State. The plaintiffs-respondents were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therefore non-citizens at the time of the sale. Under the Fi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nance Act. No. 11 of 1963, they were required to pay 100%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tax of they purchased the property as non-citizens. In or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der to overcome this, the plaintiffs-respondents had paid the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purchase price for the land and had the deed written in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 of the defendant-appellant, who was their sister and a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citizen of Sri Lanka.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defendant-appellant in that mat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 had contended that section 98 read with section 4 (1) of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Trust Ordinance would prevent the creation of such a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trust in so far as the transfer of property was an evasion of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58(1) of the Finance Act. The Court of Appeal;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sidering the submissions made, had held that the relevant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provisions of the Finance Act do not impose a prohibition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Transfer of land to the class of persons to whom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plaintiffs- respondents belonged.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examination of the provisions of the Finance Act No11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1963, referred to in muniyandy’s case (supra), clearly show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appropriate steps could have been taken to 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nsure that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such person, who had attempted to evade tax, be made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releva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nt dues to the authorities. As correctly poin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 out in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58(1) read with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59 of the Finance Act had imposed a tax and empow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ered the Commissioner of Inland Revenue to recover the tax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if in default due to the non-payment, from the person/s from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whom it has become due. Section 58(1) of the Finance Act,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No. 11 of 1963, referred to the charge of the tax and stated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“Subject to the provisions of sub-section (4), where there</w:t>
      </w:r>
    </w:p>
    <w:p>
      <w:pPr>
        <w:spacing w:before="59" w:line="246" w:lineRule="exact"/>
        <w:ind w:left="1508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a transfer of ownership of any property in Ceylon to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citizen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</w:t>
      </w:r>
    </w:p>
    <w:p>
      <w:pPr>
        <w:spacing w:before="59" w:line="246" w:lineRule="exact"/>
        <w:ind w:left="1508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 charged from the transferee of such property a tax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amount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equivalent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value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5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property.”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 59  of  the  Finance  Act,  which  dealt  with 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effect of the non-payment of the tax, clearly stated that the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Commissioner of Inland Revenue, upon notifcation of such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 by the Registrar of Lands or the Company as the case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be, shall take steps for the recovery of the tax deemed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in default.</w:t>
      </w:r>
    </w:p>
    <w:p>
      <w:pPr>
        <w:spacing w:before="25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Court of Appeal in</w:t>
      </w:r>
      <w:r>
        <w:rPr>
          <w:sz w:val="21"/>
          <w:szCs w:val="21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considered the said position and the non-payment of the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tax above the ordinary stamp duty where the purchase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in the Appellant’s name. Consideration was also given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several decisions by the Court of Appeal. .Considering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 of the Finance Act and the other relevant material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referred to above, it would not be correct to state that the</w:t>
      </w:r>
    </w:p>
    <w:p>
      <w:pPr>
        <w:spacing w:before="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Muniyandy’s case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wrongly decided by the Court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6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was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argued are answe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red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113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Saroja Nisansala v. Aberfoyle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31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plaintiff-respondent could in the circumstances of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case, plead a constructive trust;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plaintiff-respondent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contrary to the provisions in sections 4(1) and 98 of the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Trusts Ordinance.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the reasons aforesaid, the appeal is dismissed and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judgment of  the Provincial High Court (Civil Appeal) of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Sabaragamuwa Province holden in kegalle dated 27.01.2009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affrmed.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51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SrIpavan,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pacing w:before="228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pacing w:before="228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860" w:line="204" w:lineRule="exact"/>
        <w:ind w:left="2730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DISSANAYAkE AND OTHERS</w:t>
      </w:r>
    </w:p>
    <w:p>
      <w:pPr>
        <w:spacing w:before="55" w:line="204" w:lineRule="exact"/>
        <w:ind w:left="1428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[UvA MAGNETTETLE] vS.  GEOLOGICAL SURvEY AND</w:t>
      </w:r>
    </w:p>
    <w:p>
      <w:pPr>
        <w:spacing w:before="55" w:line="204" w:lineRule="exact"/>
        <w:ind w:left="2664"/>
      </w:pPr>
      <w:r>
        <w:rPr>
          <w:b w:val="true"/>
          <w:sz w:val="21"/>
          <w:szCs w:val="21"/>
          <w:rFonts w:ascii="Arial" w:hAnsi="Arial" w:cs="Arial"/>
          <w:color w:val="231f20"/>
        </w:rPr>
        <w:t xml:space="preserve">MINES BUREAU AND OTHERS</w:t>
      </w:r>
    </w:p>
    <w:p>
      <w:pPr>
        <w:spacing w:before="60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ROHINI mARASINGHe.J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814/2007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19, 2011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23, 2011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30, 2011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14, 2011</w:t>
      </w:r>
    </w:p>
    <w:p>
      <w:pPr>
        <w:spacing w:before="308" w:line="211" w:lineRule="exact"/>
        <w:ind w:left="1077"/>
      </w:pPr>
      <w:r>
        <w:rPr>
          <w:b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writ of mandamus – environmental Impact assessment report</w:t>
      </w:r>
    </w:p>
    <w:p>
      <w:pPr>
        <w:spacing w:before="48" w:line="211" w:lineRule="exact"/>
        <w:ind w:left="1077"/>
      </w:pPr>
      <w:r>
        <w:rPr>
          <w:b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[eIar] - not approved-national environmental act [nea] 47 of 1980</w:t>
      </w:r>
    </w:p>
    <w:p>
      <w:pPr>
        <w:spacing w:before="48" w:line="211" w:lineRule="exact"/>
        <w:ind w:left="1077"/>
      </w:pPr>
      <w:r>
        <w:rPr>
          <w:b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as amended – mines and minerals act 33 of 1997 – Section 30 –</w:t>
      </w:r>
    </w:p>
    <w:p>
      <w:pPr>
        <w:spacing w:before="48" w:line="211" w:lineRule="exact"/>
        <w:ind w:left="1077"/>
      </w:pPr>
      <w:r>
        <w:rPr>
          <w:b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Industrial mining licence? – non compliance with regulation –</w:t>
      </w:r>
    </w:p>
    <w:p>
      <w:pPr>
        <w:spacing w:before="4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Breach of statutory duty – unfairness – abuse of power?</w:t>
      </w:r>
    </w:p>
    <w:p>
      <w:pPr>
        <w:spacing w:before="16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sought a writ of mandamus to compel the 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Conservator of Forests to gazette the eIAR under Section 23 BB [4] of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National environmental Act 47 of 1980.</w:t>
      </w:r>
    </w:p>
    <w:p>
      <w:pPr>
        <w:spacing w:before="169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 petitioner submitted an application to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to obtain</w:t>
      </w:r>
    </w:p>
    <w:p>
      <w:pPr>
        <w:spacing w:before="12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an exploration licence in order to explore iron ore with the intention</w:t>
      </w:r>
    </w:p>
    <w:p>
      <w:pPr>
        <w:spacing w:before="4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mining iron ore. The petitioner received a licence to explore under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30 of the mines and minerals Act.</w:t>
      </w:r>
    </w:p>
    <w:p>
      <w:pPr>
        <w:spacing w:before="2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After obtaining the exploration licence the petitioner commenced work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through a company X. After submission of various reports – and after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completion of the exploration work the petitioner made an application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Industrial mining Licence.</w:t>
      </w:r>
    </w:p>
    <w:p>
      <w:pPr>
        <w:spacing w:before="21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respondents did not approve the eIAR and the project could not</w:t>
      </w:r>
    </w:p>
    <w:p>
      <w:pPr>
        <w:spacing w:before="4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be gazetted, as the project is a prescribed project in terms of the law</w:t>
      </w:r>
    </w:p>
    <w:p>
      <w:pPr>
        <w:spacing w:before="4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it requires an eIAR approved by a Project Approving Agency (PAA)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appointed by the Central environmental Authority [CeA].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355</w:t>
      </w:r>
    </w:p>
    <w:p>
      <w:pPr>
        <w:spacing w:before="411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 had provided the manner in which the CeA and the PAA could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object to the eIAR. The procedure laid down in NeA regulations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 not been followed by the PAA.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a statute imposes on a statutory body to do an act on a specifed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date, it is clear that a failure to do that duty on that date would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constitute a breach of a statutory duty.</w:t>
      </w:r>
    </w:p>
    <w:p>
      <w:pPr>
        <w:spacing w:before="16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3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 the duty had not been performed simply through lack of interest</w:t>
      </w:r>
    </w:p>
    <w:p>
      <w:pPr>
        <w:spacing w:before="17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Court is more likely to decide that there had been a breach of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duty.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Rohini marasinghe, J.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“In this case the NeA had not acted in compliance with the</w:t>
      </w:r>
    </w:p>
    <w:p>
      <w:pPr>
        <w:spacing w:before="2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NeA regulations after the petitioner had submitted the eIAR in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 2006 and after it had been recommended and approved</w:t>
      </w:r>
    </w:p>
    <w:p>
      <w:pPr>
        <w:spacing w:before="24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by the Technical evaluation Committee [TeC] of the CeA and PAA”.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Rohini marasinghe, J.</w:t>
      </w:r>
    </w:p>
    <w:p>
      <w:pPr>
        <w:spacing w:before="14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“I am of the view that the 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respondent – the Conservator of</w:t>
      </w:r>
    </w:p>
    <w:p>
      <w:pPr>
        <w:spacing w:before="102" w:line="211" w:lineRule="exact"/>
        <w:ind w:left="1530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Forests – was in breach of a statutory duty amounting to unfairness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an abuse of power when he did not comply with gazetting the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project approved by the TeC”.</w:t>
      </w:r>
    </w:p>
    <w:p>
      <w:pPr>
        <w:spacing w:before="194" w:line="211" w:lineRule="exact"/>
        <w:ind w:left="1077"/>
      </w:pPr>
      <w:r>
        <w:rPr>
          <w:b w:val="true"/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 writ of mandamus.</w:t>
      </w:r>
    </w:p>
    <w:p>
      <w:pPr>
        <w:spacing w:before="19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Kuvera de Soyza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Upendra Gunasekera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Arjuna Obeysekera D. S. G.,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 respondents.</w:t>
      </w:r>
    </w:p>
    <w:p>
      <w:pPr>
        <w:spacing w:before="358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42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ober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28, 2011</w:t>
      </w:r>
    </w:p>
    <w:p>
      <w:pPr>
        <w:spacing w:before="100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rOhInI maraSInghe J.</w:t>
      </w:r>
    </w:p>
    <w:p>
      <w:pPr>
        <w:spacing w:before="21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has fled this application seeking for a writ</w:t>
      </w:r>
    </w:p>
    <w:p>
      <w:pPr>
        <w:spacing w:before="0" w:line="199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mandamus to compel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 to gazette the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Impact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Assessment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23BB (4) of the National environmental Act 47 of 1980 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amended. (hereinafter referred to as the NeA)</w:t>
      </w:r>
    </w:p>
    <w:p>
      <w:pPr>
        <w:spacing w:before="26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contentions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put forward by the petitioner are briefy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follows. The petitioner submitted an application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spondent to obtain an exploration license in order to explore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iron ore with the intention of mining iron ore at Pelawatte in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moneragala District. The Petitioner received the licence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bearing No eL/119 on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2003. The said license had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issued in terms of section 30 of the mines and minerals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33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1997.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virtue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permitted  to  exercise  exclusive  right  to  explore  iron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magnetite saving and excepting building materials, uranium,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thorium, beryllium, lithium and coral. The exploration area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specifed in the said license which had been marked as</w:t>
      </w:r>
    </w:p>
    <w:p>
      <w:pPr>
        <w:spacing w:before="6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P3. The proposed license required the petitioner to comply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certain conditions which were attached as an annexure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proposed license eL 119. After obtaining the explora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license from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the petitioner commenced</w:t>
      </w:r>
    </w:p>
    <w:p>
      <w:pPr>
        <w:spacing w:before="1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work.  The  exploration  work  was  done  by  a  company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named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Geological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Survey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mines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Bureau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Services (Pvt) Ltd. Before commencing the exploration work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submitted the feasibility report to the ministry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Lands marked as P5. The feasibility study report included</w:t>
      </w:r>
    </w:p>
    <w:p>
      <w:pPr>
        <w:spacing w:before="6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manner of construction, the project phases, the land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development, the environmental impact of the mining project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Socio-economic beneft of the project and such other rele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vant information. The area in which the Petitioner intended to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 the work initially was depicted in the plan marked</w:t>
      </w:r>
    </w:p>
    <w:p>
      <w:pPr>
        <w:spacing w:before="6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P6. The Petitioner had paid a sum of Rs. 1,654,424.29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total to the said company for their services. The receipts</w:t>
      </w:r>
    </w:p>
    <w:p>
      <w:pPr>
        <w:spacing w:before="6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have been marked as P18A to P18D. Upon conclusion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357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said exploration work by the said Company in the area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depicted in P6, a report was submitted to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was marked as P19.  The petitioner submits that upon</w:t>
      </w:r>
    </w:p>
    <w:p>
      <w:pPr>
        <w:spacing w:before="2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completion of the said exploration work,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requested the petitioner to submit an economic viability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Report in relation to the said project. The petitioner had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incurred a sum of Rs. 3,802, 104.54 for the preparation of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Report. The economic viability Report was submitted to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respondent. It is marked as P20. After completion of</w:t>
      </w:r>
    </w:p>
    <w:p>
      <w:pPr>
        <w:spacing w:before="1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exploration work the Petitioner made an application for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Industrial mining License (P21). Under the provisions of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mines and minerals Act and the National environmental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(NeA) there is a procedure that should be followed before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Industrial mining license is issued.</w:t>
      </w:r>
    </w:p>
    <w:p>
      <w:pPr>
        <w:spacing w:before="25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objections of the respondents to the application of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is that the environmental Impact Assessment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(eIAR) had not been approved by the project approving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agency (PAA) and on that basis the proposed project cannot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gazetted under section 23 BB (4) of the NeA.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reasons for not approving the project are mentioned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Central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</w:t>
      </w:r>
    </w:p>
    <w:p>
      <w:pPr>
        <w:spacing w:before="2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(Authority) who is the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in this application in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 13 and paragraph 14. The reasons for not approv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project by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 who is the Conserva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tor of Forests in the Forest Department (Project Approving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Agency),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paragraphs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affdavit.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Identical</w:t>
      </w:r>
      <w:r>
        <w:rPr>
          <w:sz w:val="21"/>
          <w:szCs w:val="21"/>
          <w:rFonts w:ascii="Bookman Old Style" w:hAnsi="Bookman Old Style" w:cs="Bookman Old Style"/>
          <w:color w:val="231f20"/>
          <w:spacing w:val="2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parties. The objections are mentioned below:</w:t>
      </w:r>
    </w:p>
    <w:p>
      <w:pPr>
        <w:spacing w:before="2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“13 (a) The eIA submitted by the petitioner has proposed</w:t>
      </w:r>
    </w:p>
    <w:p>
      <w:pPr>
        <w:spacing w:before="6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export of raw iron ore for the frst four years (but this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objec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ted to by the public) and export of value adde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products would commence only thereafter;</w:t>
      </w:r>
    </w:p>
    <w:p>
      <w:pPr>
        <w:spacing w:before="24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(b)  The exact extent of the ore has still not been deter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mined by the petitioners;</w:t>
      </w:r>
    </w:p>
    <w:p>
      <w:pPr>
        <w:spacing w:before="186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  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current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13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approval will not be granted for the full export of</w:t>
      </w:r>
    </w:p>
    <w:p>
      <w:pPr>
        <w:spacing w:before="4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minerals that are extracted must be exported only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value addition is carried out thus ensuring that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country benefts to the fullest by the export of its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natural resources;</w:t>
      </w:r>
    </w:p>
    <w:p>
      <w:pPr>
        <w:spacing w:before="186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fact, the mineral Investment Agreement that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5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has entered into with other licensees is</w:t>
      </w:r>
    </w:p>
    <w:p>
      <w:pPr>
        <w:spacing w:before="4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for the export of value added products.”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(a) The eIA submitted by the petitioners has not been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1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approved by the TeC;</w:t>
      </w:r>
    </w:p>
    <w:p>
      <w:pPr>
        <w:spacing w:before="2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 The TeC has only decided the following: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recommend the project on phase out basis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initially for a two year period subject to the terms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conditions attached in Annexure 1 of the TeC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report;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very close monitoring mechanism to be adopted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monitor and evaluate the proceedings;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45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(iii)  I order to address the public concerns on handing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  this  national  resource  to  a  single  private</w:t>
      </w:r>
    </w:p>
    <w:p>
      <w:pPr>
        <w:spacing w:before="45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competition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45" w:line="246" w:lineRule="exact"/>
        <w:ind w:left="226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export of the iron ore in raw form during the</w:t>
      </w:r>
    </w:p>
    <w:p>
      <w:pPr>
        <w:spacing w:before="0" w:line="201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initial period, a directive to be sought from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pondent since these issues relate to policy.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359</w:t>
      </w:r>
    </w:p>
    <w:p>
      <w:pPr>
        <w:spacing w:before="38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(c)  Based on the recommendation of the TeC and since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related to a matter of policy, the Forest Department</w:t>
      </w:r>
    </w:p>
    <w:p>
      <w:pPr>
        <w:spacing w:before="59" w:line="246" w:lineRule="exact"/>
        <w:ind w:left="1870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sought a directive from the 4th respondent for a policy</w:t>
      </w:r>
    </w:p>
    <w:p>
      <w:pPr>
        <w:spacing w:before="59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decision on handing over this iron ore recourse to</w:t>
      </w:r>
    </w:p>
    <w:p>
      <w:pPr>
        <w:spacing w:before="59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single private sector institution without any com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 ad regarding the export of the iron in raw</w:t>
      </w:r>
    </w:p>
    <w:p>
      <w:pPr>
        <w:spacing w:before="59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form during the initial period of three years without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processing.</w:t>
      </w:r>
    </w:p>
    <w:p>
      <w:pPr>
        <w:spacing w:before="200" w:line="213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has considered the matter and</w:t>
      </w:r>
    </w:p>
    <w:p>
      <w:pPr>
        <w:spacing w:before="149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keeping with the current policy decided that the ex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port of raw iron cannot be permitted.</w:t>
      </w:r>
    </w:p>
    <w:p>
      <w:pPr>
        <w:spacing w:before="2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approval of the eIA must be given by the Project</w:t>
      </w:r>
    </w:p>
    <w:p>
      <w:pPr>
        <w:spacing w:before="59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Approving Agency with the concurrence of the Cen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tral environmental Authority.</w:t>
      </w:r>
    </w:p>
    <w:p>
      <w:pPr>
        <w:spacing w:before="2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 The CeA has so far not granted its concurrence to the</w:t>
      </w:r>
    </w:p>
    <w:p>
      <w:pPr>
        <w:spacing w:before="59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eIA for the reasons set out above and therefore the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eIA cannot be gazetted;</w:t>
      </w:r>
    </w:p>
    <w:p>
      <w:pPr>
        <w:spacing w:before="2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(g)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any event the exploration license issued by the 1st</w:t>
      </w:r>
    </w:p>
    <w:p>
      <w:pPr>
        <w:spacing w:before="59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 has expired and the petitioner has 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" w:line="213" w:lineRule="exact"/>
        <w:ind w:left="1870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mitted an appeal to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requesting</w:t>
      </w:r>
    </w:p>
    <w:p>
      <w:pPr>
        <w:spacing w:before="1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be extended.”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concerns raised by the respondents are addressed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latter part of this judgment.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are two Statutes that are relevant to this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 Namely, The mines and mineral Act 33 of  1992 and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National environmental Act 47 of 1980 as amended by Act 56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1988 any by Act 53 of 2000. It is also relevant to mention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purposes of these two Statutes. The mines and mineral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33 of 1992 was enacted to provide for the establishment</w:t>
      </w:r>
    </w:p>
    <w:p>
      <w:pPr>
        <w:spacing w:before="6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 Geological Survey and a mines Bureau to regulate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exploration of, mining, transportation, processing, trading in,</w:t>
      </w:r>
    </w:p>
    <w:p>
      <w:pPr>
        <w:spacing w:before="6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or export of, minerals. And the functions of the Department of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Geological Survey were transferred to the Bureau established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this Act under section 2 of the said Act.</w:t>
      </w:r>
    </w:p>
    <w:p>
      <w:pPr>
        <w:spacing w:before="26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Part II of the Act deals with the ownership of the</w:t>
      </w:r>
    </w:p>
    <w:p>
      <w:pPr>
        <w:spacing w:before="6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minerals and the issuance of licenses. According to this Act</w:t>
      </w:r>
    </w:p>
    <w:p>
      <w:pPr>
        <w:spacing w:before="6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ownership of all minerals are vested in the State irre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spective of any right of ownership of all soil under which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minerals nay be found. And no person can explore for miner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 without a license issued under the provisions of this Act.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(vide section 30) After completion of  the exploration, and if</w:t>
      </w:r>
    </w:p>
    <w:p>
      <w:pPr>
        <w:spacing w:before="6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minerals are deposited in the designated area, an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may be made by the project proponent for the industrial</w:t>
      </w:r>
    </w:p>
    <w:p>
      <w:pPr>
        <w:spacing w:before="6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mining License under section 35 of the mines and minerals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to the 1st Respondent.</w:t>
      </w:r>
    </w:p>
    <w:p>
      <w:pPr>
        <w:spacing w:before="26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Bureau, may subject to the provisions contained in section</w:t>
      </w:r>
    </w:p>
    <w:p>
      <w:pPr>
        <w:spacing w:before="6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33, either issue a license to the applicant or for  reasons to be</w:t>
      </w:r>
    </w:p>
    <w:p>
      <w:pPr>
        <w:spacing w:before="6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recorded refuse the issue of the license to such applicant. The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license may be issued, subject to the provisions contained in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sections 35(2) (a) (b) (c) 35 (3) 35(4) (a) to 35 (j). Accordingly,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Bureau (1st Respondent) has immense powers conferred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Bureau by the Act to supervise and regulate the proj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ect to which the industrial mining License had been issued.</w:t>
      </w:r>
    </w:p>
    <w:p>
      <w:pPr>
        <w:spacing w:before="6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37 states that a licence coul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 be cancelled if it con-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travenes any terms or conditions attached to the said license.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Act further states that the protection of the environment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be in compliance with the provisions of the NeA (vide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 61) Section 64 gives the minister the power to make</w:t>
      </w:r>
    </w:p>
    <w:p>
      <w:pPr>
        <w:spacing w:before="6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regulations in respect of all matters which are required by the</w:t>
      </w:r>
    </w:p>
    <w:p>
      <w:pPr>
        <w:spacing w:before="6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Act to be prescribed. The provisions in this Act are couched in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a way that the 1st respondent and the NeA Authorities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able to monitor and regulate the project as statutory 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visions do well stipulate that purpose in these two Statutes.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mines and minerals Act is designed in such a way that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has the statutory power to deal with all matters concern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mines and minerals deposited in the area to which a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license had been issued. It also deals with the environmental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impact of the project.</w:t>
      </w:r>
    </w:p>
    <w:p>
      <w:pPr>
        <w:spacing w:before="26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National environmental Act No. 47 of 1980 (NeA)</w:t>
      </w:r>
    </w:p>
    <w:p>
      <w:pPr>
        <w:spacing w:before="6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amended by Act No 56 of 1988 and by Act 53 of 2000.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purpose of this Act could be ascertained by consider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 the preamble and the provisions contained in the Act.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Consequently, the Act is enacted to make provisions for the</w:t>
      </w:r>
    </w:p>
    <w:p>
      <w:pPr>
        <w:spacing w:before="6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protection and the management of the environment. The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Central environmental Authority (CeA) and the environmen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tal Council are established under this Act. The functions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NeA are carried out by the “Authority” called the Central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 Authority (CeA) The powers and the duties of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Authority are contained in Part II of the Act. According to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26(1) the Authority may delegate any of its’ powers,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functions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</w:p>
    <w:p>
      <w:pPr>
        <w:spacing w:before="65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Department subject to the provisions contained in section 26.</w:t>
      </w:r>
    </w:p>
    <w:p>
      <w:pPr>
        <w:spacing w:before="26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section 23 (Z) of the NeA, the minister of the</w:t>
      </w:r>
    </w:p>
    <w:p>
      <w:pPr>
        <w:spacing w:before="6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subject may by Order, published in the gazette, determine</w:t>
      </w:r>
    </w:p>
    <w:p>
      <w:pPr>
        <w:spacing w:before="6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projects that are classifed as “prescribed projects”. This</w:t>
      </w:r>
    </w:p>
    <w:p>
      <w:pPr>
        <w:spacing w:before="6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 in issue is a prescribed project under the said section.</w:t>
      </w:r>
    </w:p>
    <w:p>
      <w:pPr>
        <w:spacing w:before="6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relevant gazette is the Gazette extra-ordinary 772/22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2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1998.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2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approval of prescribed projects are contained in Part Iv C</w:t>
      </w:r>
    </w:p>
    <w:p>
      <w:pPr>
        <w:spacing w:before="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NeA. Along with the gazette the minister of environ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mental Affairs had made Regulations under section 23CC of</w:t>
      </w:r>
    </w:p>
    <w:p>
      <w:pPr>
        <w:spacing w:before="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NeA 47 of 1980.These Regulations (hereinafter referred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as NeA regulations) are cited as Regulations No 1 of 1993.</w:t>
      </w:r>
    </w:p>
    <w:p>
      <w:pPr>
        <w:spacing w:before="3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These regulations refer to the procedure for the approval of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projects.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this project is a prescribed project in terms of the law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requires  an  environmental  Impact  Assessment  Report.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(eIAR) In terms of the law any project which requires an eIAR,</w:t>
      </w:r>
    </w:p>
    <w:p>
      <w:pPr>
        <w:spacing w:before="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must have such approved by a Project Approving Agency,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appointed by the Central environmental Authority. (CeA)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NeA regulations when the project propo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nent (petitioner) undertakes a mining project and was actively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 preparations towards that project, should submit to</w:t>
      </w:r>
    </w:p>
    <w:p>
      <w:pPr>
        <w:spacing w:before="3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Project Approving Agency (PAA) preliminary information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project as requested by the appropriate PAA. In terms</w:t>
      </w:r>
    </w:p>
    <w:p>
      <w:pPr>
        <w:spacing w:before="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law the PAA will assess the preliminary information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report. After the assessment, if the PAA considers the pre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liminary information of the project submitted by the project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proponent is adequate to be an Initial environmental exami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 Report, the  PAA under the law is permitted to proceed</w:t>
      </w:r>
    </w:p>
    <w:p>
      <w:pPr>
        <w:spacing w:before="3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with that report as specifed in the NeA regulations (NeA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regulations 5 and 6 (iv).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</w:t>
      </w:r>
    </w:p>
    <w:p>
      <w:pPr>
        <w:spacing w:before="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proponent) submitted an application to the 1st respondent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Bureau for a mechanized mining project. The 1st Respondent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letter dated 10-12-2004 had informed the Director Gener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 (environmental Pollution Control Division) the following;</w:t>
      </w:r>
    </w:p>
    <w:p>
      <w:pPr>
        <w:spacing w:before="2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3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proposed project should undergo an eIAR under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23BB of the NeA.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82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Dissanayake and others [Uva Magnettetle] vs. Geological Survey and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104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Mines Bureau and others (Rohini Marasinghe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03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363</w:t>
      </w:r>
    </w:p>
    <w:p>
      <w:pPr>
        <w:spacing w:before="36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3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 To make arrangements to appoint a project approving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 (PAA)</w:t>
      </w:r>
    </w:p>
    <w:p>
      <w:pPr>
        <w:spacing w:before="16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305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(iii) To instruct the PAA to prepare the Terms of Reference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(TOR) on this subject.</w:t>
      </w:r>
    </w:p>
    <w:p>
      <w:pPr>
        <w:spacing w:before="16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letter is marked as P 24.</w:t>
      </w:r>
    </w:p>
    <w:p>
      <w:pPr>
        <w:spacing w:before="245" w:line="246" w:lineRule="exact"/>
        <w:ind w:left="1508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lt is the CeA by law who can designate a PAA. (vide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NeA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2(i).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CeA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7-2-2005</w:t>
      </w:r>
    </w:p>
    <w:p>
      <w:pPr>
        <w:spacing w:before="4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designated the Forest Department (FD) as the PAA as the area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project considered here belonged to the Forest depart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(P25). The Forest Department consists of Conservator of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Forests, Deputy Conservator of forest offcers.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law the PAA (FD) could grant approval to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eIAR only with the concurrence of the CeA. (NeA regula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3)</w:t>
      </w:r>
    </w:p>
    <w:p>
      <w:pPr>
        <w:spacing w:before="18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as the Conservator of Forests is the</w:t>
      </w:r>
    </w:p>
    <w:p>
      <w:pPr>
        <w:spacing w:before="1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head of the Forest Department. He appointed a Technical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evaluation Committee (TeC) to assess and evaluate the eLAR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prepared for the proposed magnetite mining site. Namely,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Horakagodakanda Range Buttala by the project propo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nent, seeking environmental clearance for implementation of</w:t>
      </w:r>
    </w:p>
    <w:p>
      <w:pPr>
        <w:spacing w:before="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project.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appointed the following</w:t>
      </w:r>
    </w:p>
    <w:p>
      <w:pPr>
        <w:spacing w:before="1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offcers to the TeC.</w:t>
      </w:r>
    </w:p>
    <w:p>
      <w:pPr>
        <w:spacing w:before="2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C.H.e.R. Siriwardena – Deputy Director Geology of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Geological Survey and mines Bureau.</w:t>
      </w:r>
    </w:p>
    <w:p>
      <w:pPr>
        <w:spacing w:before="17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A. m. wimalasiri environmental Offcer attached to</w:t>
      </w:r>
    </w:p>
    <w:p>
      <w:pPr>
        <w:spacing w:before="59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Butthala Pradeshiya Sabha – an offcer attached</w:t>
      </w:r>
    </w:p>
    <w:p>
      <w:pPr>
        <w:spacing w:before="5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ministry of the environmental Affairs.</w:t>
      </w:r>
    </w:p>
    <w:p>
      <w:pPr>
        <w:spacing w:before="154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Nilimini Attanayake – environmental Offcer attached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CeA. (Authority)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2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Anura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Conservator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Forests</w:t>
      </w:r>
    </w:p>
    <w:p>
      <w:pPr>
        <w:spacing w:before="2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attached to the Forest Department  (PAA)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Anil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Peiris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Deputy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Geological</w:t>
      </w:r>
    </w:p>
    <w:p>
      <w:pPr>
        <w:spacing w:before="2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Survey and mines Bureau.</w:t>
      </w:r>
    </w:p>
    <w:p>
      <w:pPr>
        <w:spacing w:before="22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offcers appointed to the TeC were from the CeA,</w:t>
      </w:r>
    </w:p>
    <w:p>
      <w:pPr>
        <w:spacing w:before="0" w:line="185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(Authority) Forest Department, (PAA) and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1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dent Offcer, who all are holding responsible positions.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Project Approving Agency (FD) and the CeA (Authority) were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members of the TeC. The document R2 which is titled as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“Final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Report”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Impact Assessment Report (eIAR) For the proposed magnetite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Site,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Horakagodakanda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Range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Buttala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Uva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magnetite  Company  Ltd.”  The  Final  Report  on  the  above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subject was prepared by the said offcers. According to the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document R2 an environmental scoping meeting had been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held at the CeA as far back as 9-12-2004. Additionally, an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 scoping had been carried out on 7-2-2005 by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FD functioning as the PAA.</w:t>
      </w:r>
    </w:p>
    <w:p>
      <w:pPr>
        <w:spacing w:before="227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As stated in R2, the TeC in which both the CeA and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PAA were represented had ‘strongly considered the method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ology and the available exploration data of the ore-reserve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calculations,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social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impacts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proposed project” (4)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concerns as shown in document R2;</w:t>
      </w:r>
    </w:p>
    <w:p>
      <w:pPr>
        <w:spacing w:before="22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mining and Ore Reserve estimation (4.1)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ecological Impact (4.2)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Socio economic Impacts (4.3)</w:t>
      </w:r>
    </w:p>
    <w:p>
      <w:pPr>
        <w:spacing w:before="14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environmental monitoring Programme (4.4)</w:t>
      </w:r>
    </w:p>
    <w:p>
      <w:pPr>
        <w:spacing w:before="18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Restoration Plan (4.5)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al">
    <w:panose1 w:val="020B0504020202030204"/>
    <w:charset w:val="00"/>
    <w:pitch w:val="variable"/>
    <w:sig w:usb0="00000000" w:usb1="00000000" w:usb2="00000000" w:usb3="00000000" w:csb0="00000000" w:csb1="0000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al">
    <w:panose1 w:val="020B0704020202030204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