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340" w:line="416" w:lineRule="exact"/>
        <w:ind w:left="280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69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0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261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12" w:line="390" w:lineRule="exact"/>
        <w:ind w:left="2929"/>
      </w:pPr>
      <w:r>
        <w:rPr>
          <w:spacing w:val="3"/>
          <w:sz w:val="30"/>
          <w:szCs w:val="30"/>
          <w:rFonts w:ascii="Arial" w:hAnsi="Arial" w:cs="Arial"/>
          <w:color w:val="231f20"/>
        </w:rPr>
        <w:t xml:space="preserve">MAHANUWARA,  ASGIRIYA,  PALIPANA</w:t>
      </w:r>
    </w:p>
    <w:p>
      <w:pPr>
        <w:spacing w:before="0" w:line="359" w:lineRule="exact"/>
        <w:ind w:left="2953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SRI CHANDANANDA  INTERNATIONAL</w:t>
      </w:r>
    </w:p>
    <w:p>
      <w:pPr>
        <w:spacing w:before="0" w:line="359" w:lineRule="exact"/>
        <w:ind w:left="3697"/>
      </w:pPr>
      <w:r>
        <w:rPr>
          <w:sz w:val="30"/>
          <w:szCs w:val="30"/>
          <w:rFonts w:ascii="Arial" w:hAnsi="Arial" w:cs="Arial"/>
          <w:color w:val="231f20"/>
        </w:rPr>
        <w:t xml:space="preserve">BUDDHIST  RESEARCH  AND</w:t>
      </w:r>
    </w:p>
    <w:p>
      <w:pPr>
        <w:spacing w:before="0" w:line="359" w:lineRule="exact"/>
        <w:ind w:left="3885"/>
      </w:pPr>
      <w:r>
        <w:rPr>
          <w:sz w:val="30"/>
          <w:szCs w:val="30"/>
          <w:rFonts w:ascii="Arial" w:hAnsi="Arial" w:cs="Arial"/>
          <w:color w:val="231f20"/>
        </w:rPr>
        <w:t xml:space="preserve">DEVELOPMENT  CENTRE</w:t>
      </w:r>
    </w:p>
    <w:p>
      <w:pPr>
        <w:spacing w:before="0" w:line="360" w:lineRule="exact"/>
        <w:ind w:left="2869"/>
      </w:pPr>
      <w:r>
        <w:rPr>
          <w:sz w:val="30"/>
          <w:szCs w:val="30"/>
          <w:rFonts w:ascii="Arial" w:hAnsi="Arial" w:cs="Arial"/>
          <w:color w:val="231f20"/>
        </w:rPr>
        <w:t xml:space="preserve">(INCORPORATION)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52  OF  2007</w:t>
      </w:r>
    </w:p>
    <w:p>
      <w:pPr>
        <w:spacing w:before="313" w:line="192" w:lineRule="exact"/>
        <w:ind w:left="508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79" w:line="260" w:lineRule="exact"/>
        <w:ind w:left="4309"/>
      </w:pPr>
      <w:r>
        <w:rPr>
          <w:sz w:val="20"/>
          <w:szCs w:val="20"/>
          <w:rFonts w:ascii="Arial" w:hAnsi="Arial" w:cs="Arial"/>
          <w:color w:val="231f20"/>
        </w:rPr>
        <w:t xml:space="preserve">[Certified on 24th October, 2007]</w:t>
      </w:r>
    </w:p>
    <w:p>
      <w:pPr>
        <w:spacing w:before="424" w:line="240" w:lineRule="exact"/>
        <w:ind w:left="422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62" w:line="192" w:lineRule="exact"/>
        <w:ind w:left="5046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48" w:line="260" w:lineRule="exact"/>
        <w:ind w:left="293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4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October  26,  2007</w:t>
      </w:r>
    </w:p>
    <w:p>
      <w:pPr>
        <w:spacing w:before="23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pacing w:val="-8"/>
          <w:sz w:val="18"/>
          <w:szCs w:val="18"/>
          <w:rFonts w:ascii="Arial" w:hAnsi="Arial" w:cs="Arial"/>
          <w:color w:val="231f20"/>
        </w:rPr>
        <w:t xml:space="preserve">rice :  Rs. 6.00</w:t>
      </w:r>
      <w:r>
        <w:rPr>
          <w:sz w:val="18"/>
          <w:szCs w:val="18"/>
          <w:rFonts w:ascii="Arial" w:hAnsi="Arial" w:cs="Arial"/>
          <w:color w:val="231f20"/>
          <w:spacing w:val="370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03mm;margin-top:59.28mm;width:4.94mm;height:4.94mm;margin-left:133.03mm;margin-top:59.28mm;width:4.94mm;height:4.9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27" w:line="250" w:lineRule="exact"/>
        <w:ind w:left="310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7" w:line="240" w:lineRule="exact"/>
        <w:ind w:left="316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348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222" w:line="241" w:lineRule="exact"/>
        <w:ind w:left="3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24th October, 2007]</w:t>
      </w:r>
    </w:p>
    <w:p>
      <w:pPr>
        <w:spacing w:before="21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(Inco.) 13/2004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AHANUWARA</w:t>
      </w:r>
      <w:r>
        <w:rPr>
          <w:sz w:val="20"/>
          <w:szCs w:val="20"/>
          <w:rFonts w:ascii="Arial" w:hAnsi="Arial" w:cs="Arial"/>
          <w:color w:val="231f20"/>
        </w:rPr>
        <w:t xml:space="preserve">, A</w:t>
      </w:r>
      <w:r>
        <w:rPr>
          <w:sz w:val="14"/>
          <w:szCs w:val="14"/>
          <w:rFonts w:ascii="Arial" w:hAnsi="Arial" w:cs="Arial"/>
          <w:color w:val="231f20"/>
        </w:rPr>
        <w:t xml:space="preserve">SGIRIYA</w:t>
      </w:r>
      <w:r>
        <w:rPr>
          <w:sz w:val="20"/>
          <w:szCs w:val="20"/>
          <w:rFonts w:ascii="Arial" w:hAnsi="Arial" w:cs="Arial"/>
          <w:color w:val="231f20"/>
        </w:rPr>
        <w:t xml:space="preserve">, P</w:t>
      </w:r>
      <w:r>
        <w:rPr>
          <w:sz w:val="14"/>
          <w:szCs w:val="14"/>
          <w:rFonts w:ascii="Arial" w:hAnsi="Arial" w:cs="Arial"/>
          <w:color w:val="231f20"/>
        </w:rPr>
        <w:t xml:space="preserve">ALIPANA</w:t>
      </w:r>
      <w:r>
        <w:rPr>
          <w:sz w:val="20"/>
          <w:szCs w:val="20"/>
          <w:rFonts w:ascii="Arial" w:hAnsi="Arial" w:cs="Arial"/>
          <w:color w:val="231f20"/>
        </w:rPr>
        <w:t xml:space="preserve">, 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HANDANANDÀ</w:t>
      </w:r>
      <w:r>
        <w:rPr>
          <w:sz w:val="14"/>
          <w:szCs w:val="14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NTERNATIONAL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UDDHIST</w:t>
      </w:r>
      <w:r>
        <w:rPr>
          <w:sz w:val="14"/>
          <w:szCs w:val="14"/>
          <w:rFonts w:ascii="Arial" w:hAnsi="Arial" w:cs="Arial"/>
          <w:color w:val="231f20"/>
          <w:spacing w:val="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ESEARCH</w:t>
      </w:r>
      <w:r>
        <w:rPr>
          <w:sz w:val="14"/>
          <w:szCs w:val="14"/>
          <w:rFonts w:ascii="Arial" w:hAnsi="Arial" w:cs="Arial"/>
          <w:color w:val="231f20"/>
          <w:spacing w:val="4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</w:p>
    <w:p>
      <w:pPr>
        <w:spacing w:before="0" w:line="227" w:lineRule="exact"/>
        <w:ind w:left="4497"/>
      </w:pP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EVELOPMENT</w:t>
      </w:r>
      <w:r>
        <w:rPr>
          <w:sz w:val="14"/>
          <w:szCs w:val="14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ENTRE</w:t>
      </w:r>
    </w:p>
    <w:p>
      <w:pPr>
        <w:spacing w:before="21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WHEREAS two Institutions called and known as Palipana,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Sri Chandananda International Buddhist Centre and Palipana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Sri Chandananda Buddhist Research Centre have heretofore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been established in Kandy Sri Lanka for the purpose of</w:t>
      </w:r>
    </w:p>
    <w:p>
      <w:pPr>
        <w:spacing w:before="0" w:line="228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effectually carrying out and transacting all objects and matters</w:t>
      </w:r>
    </w:p>
    <w:p>
      <w:pPr>
        <w:spacing w:before="0" w:line="22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 Institutions according to the rules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agreed to by their members:</w:t>
      </w:r>
    </w:p>
    <w:p>
      <w:pPr>
        <w:spacing w:before="2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WHEREAS the said Institutions have heretofore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2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matters for which they were established and have applied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be incorporated, as one institution under the name</w:t>
      </w:r>
    </w:p>
    <w:p>
      <w:pPr>
        <w:spacing w:before="0" w:line="228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“Mahanuwara, Asgiriya, Palipana Sri Chandananda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International Buddhist Research and Development Centre”</w:t>
      </w:r>
    </w:p>
    <w:p>
      <w:pPr>
        <w:spacing w:before="0" w:line="227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and it will be for the public advantage to grant such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application :</w:t>
      </w:r>
    </w:p>
    <w:p>
      <w:pPr>
        <w:spacing w:before="214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Socialist Republic of Sri Lanka as follows:—</w:t>
      </w:r>
    </w:p>
    <w:p>
      <w:pPr>
        <w:spacing w:before="227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9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 Act may be cited as the Mahanuwara, Asgiriya,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Palipana Sri Chandananda International Buddhist Research</w:t>
      </w:r>
    </w:p>
    <w:p>
      <w:pPr>
        <w:spacing w:before="0" w:line="22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Development Centre (Incorporation)  Act, No. 52 of 2007.</w:t>
      </w:r>
    </w:p>
    <w:p>
      <w:pPr>
        <w:spacing w:before="198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5"/>
          <w:szCs w:val="15"/>
          <w:rFonts w:ascii="Arial" w:hAnsi="Arial" w:cs="Arial"/>
          <w:color w:val="231f20"/>
        </w:rPr>
        <w:t xml:space="preserve">I</w:t>
      </w:r>
      <w:r>
        <w:rPr>
          <w:sz w:val="16"/>
          <w:szCs w:val="16"/>
          <w:rFonts w:ascii="Arial" w:hAnsi="Arial" w:cs="Arial"/>
          <w:color w:val="231f20"/>
        </w:rPr>
        <w:t xml:space="preserve">ncorporation of</w:t>
      </w:r>
    </w:p>
    <w:p>
      <w:pPr>
        <w:spacing w:before="0" w:line="18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and so many persons as are now members of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Mahanuwara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Asgiriya,</w:t>
      </w:r>
    </w:p>
    <w:p>
      <w:pPr>
        <w:spacing w:before="0" w:line="133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“Mahanuwara, Asgiriya, Palipana Sri Chandananda</w:t>
      </w:r>
      <w:r>
        <w:rPr>
          <w:sz w:val="20"/>
          <w:szCs w:val="20"/>
          <w:rFonts w:ascii="Arial" w:hAnsi="Arial" w:cs="Arial"/>
          <w:color w:val="231f20"/>
          <w:spacing w:val="16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Palipana, Sri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International Buddhist Research and Development Centre”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Chandananda</w:t>
      </w:r>
    </w:p>
    <w:p>
      <w:pPr>
        <w:spacing w:before="0" w:line="17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(hereinafter referred to as the “Institute”) or shall hereafter be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International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Buddhist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admitted as members of the Corporation hereby constituted,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Research and</w:t>
      </w:r>
    </w:p>
    <w:p>
      <w:pPr>
        <w:spacing w:before="0" w:line="15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the “Corporation”) shall be a body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204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corporate with perpetual succession, under the name and style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Centre.</w:t>
      </w:r>
    </w:p>
    <w:p>
      <w:pPr>
        <w:spacing w:before="239" w:line="192" w:lineRule="exact"/>
        <w:ind w:left="28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2 —PL001851—3,300 (03/2007)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</w:p>
    <w:p>
      <w:pPr>
        <w:spacing w:before="0" w:line="240" w:lineRule="exact"/>
        <w:ind w:left="4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4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25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“Mahanuwara, Asgiriya, Palipana Sri Chandananda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International Buddhist Research and Development Centre”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by that name may sue and be sued, with full power and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to have and use a common seal and alter the same.</w:t>
      </w:r>
    </w:p>
    <w:p>
      <w:pPr>
        <w:spacing w:before="214" w:line="2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8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protect, maintain and develop the library and the</w:t>
      </w:r>
    </w:p>
    <w:p>
      <w:pPr>
        <w:spacing w:before="0" w:line="240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two storeyed Dharma Mandiraya situated at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Mahanuwara Asgiri Mahaviharaya and the movable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immovable property affliated thereto;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protect, develop and administer all immovable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movable property which previously belonged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the Palipana Sri Lanka Chandananda Buddhist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Research Centre and which is presently vested in</w:t>
      </w:r>
    </w:p>
    <w:p>
      <w:pPr>
        <w:spacing w:before="0" w:line="239" w:lineRule="exact"/>
        <w:ind w:left="4943"/>
      </w:pPr>
      <w:r>
        <w:rPr>
          <w:spacing w:val="18"/>
          <w:sz w:val="20"/>
          <w:szCs w:val="20"/>
          <w:rFonts w:ascii="Arial" w:hAnsi="Arial" w:cs="Arial"/>
          <w:color w:val="231f20"/>
        </w:rPr>
        <w:t xml:space="preserve">the Mahanuwara Asgiriya Palipana Sri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Chandananda International Buddhist Research and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Development Centre;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train the Buddhist priests and Buddhists for the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expansion of the Buddhist philosophy in Sri Lanka</w:t>
      </w:r>
    </w:p>
    <w:p>
      <w:pPr>
        <w:spacing w:before="0" w:line="239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abroad;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encourage and assist Buddhists to study the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Buddhist philosophy and affiliated subjects.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whatsoever as are necessary or desirable for the furtherance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its objects or any one of them, including the power to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open, and close bank accounts, to borrow or raise moneys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with or without security, to receive or collect grants or</w:t>
      </w:r>
    </w:p>
    <w:p>
      <w:pPr>
        <w:spacing w:before="0" w:line="239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donations, to invest its funds, and to engage, employ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dismiss, officers and servants required for the carrying out of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10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7" w:line="240" w:lineRule="exact"/>
        <w:ind w:left="316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348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201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 affairs</w:t>
      </w:r>
    </w:p>
    <w:p>
      <w:pPr>
        <w:spacing w:before="0" w:line="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provisions of this Act and the rules made thereunder, be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administered by a Board of Management. The Board of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Management shall consist of the Chief Incumbent of the</w:t>
      </w:r>
    </w:p>
    <w:p>
      <w:pPr>
        <w:spacing w:before="0" w:line="240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Mahanuwara Asgiriya Palipana Sri Chandananda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International Buddhist Research and Development Centre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(hereinafter referred to as the “Chief Incumbent”) and the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Director, the Secretary and the Treasurer and such other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committee members who may be elected in accordance with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rules of the Corporation made under section 6.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Chief Incumbent shall preside at every meeting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the Board of Management. In the absence of the Chief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Incumbent from any meeting of the Board, the Director shall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preside at such meeting.</w:t>
      </w:r>
    </w:p>
    <w:p>
      <w:pPr>
        <w:spacing w:before="23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rules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made thereunder, the Board of Management may regulate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procedure in regard to its meetings and the transaction of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business at such meetings.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act or proceeding of the Board shall be deemed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be invalid by reason only of the existence of a vacancy</w:t>
      </w:r>
    </w:p>
    <w:p>
      <w:pPr>
        <w:spacing w:before="0" w:line="239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among its’ members or any defect in the election or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nomination of a member thereof.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Management of the Corporation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consist of the members of the Board of Management of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Institution, holding office on the day immediately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preceding the date of commencement of this Act.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time, at any general meeting and by the votes of not less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two-thirds of the members present and voting at such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meeting, to make rules not inconsistent with the provisions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Act, or any other written law, for the performance of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duties of the Board and the various officers and servants</w:t>
      </w:r>
    </w:p>
    <w:p>
      <w:pPr>
        <w:spacing w:before="0" w:line="235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 the Corporation, for specifying the procedure to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</w:p>
    <w:p>
      <w:pPr>
        <w:spacing w:before="0" w:line="240" w:lineRule="exact"/>
        <w:ind w:left="4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4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245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followed in the transaction of business at meetings of the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and of the Board of Management and otherwise</w:t>
      </w:r>
    </w:p>
    <w:p>
      <w:pPr>
        <w:spacing w:before="0" w:line="232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generally, for the management of the affairs of the Corporation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the accomplishment of its objects.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 rule of the Corporation shall be alteared, added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to, amended or rescinded except by the votes of not less than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two-thirds of the members present and voting at a general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meeting of the Corporation.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members of the Corporation shall be subject to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220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Corporation shall have its own Fund.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moneys received by way of gift, bequest, donation, transfer,</w:t>
      </w:r>
    </w:p>
    <w:p>
      <w:pPr>
        <w:spacing w:before="67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subscription, contribution or fees shall be deposited to the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credit of the Corporation in one or more Banks as the Board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Management shall determine.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 shall be paid out of the Fund of the Corporation,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such sums of money as may be required to defray any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expenditure incurred by the Corporation in carrying out the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226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(3) The moneys and property of the Corporation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wheresoever derived shall be applied solely towards the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promotion of the objects as set forth herein and no portion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thereof shall be paid or transferred directly or indirectly by</w:t>
      </w:r>
    </w:p>
    <w:p>
      <w:pPr>
        <w:spacing w:before="0" w:line="232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way of dividend, bouns or otherwise, to any member of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15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Corporation shall cause proper acounts to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955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kept of all the moneys received and expended by the</w:t>
      </w:r>
    </w:p>
    <w:p>
      <w:pPr>
        <w:spacing w:before="70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accounts of the Corporation shall be examined</w:t>
      </w:r>
    </w:p>
    <w:p>
      <w:pPr>
        <w:spacing w:before="0" w:line="232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audited at least once in every year and the correctness of</w:t>
      </w:r>
    </w:p>
    <w:p>
      <w:pPr>
        <w:spacing w:before="0" w:line="235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Income and Expenditure, Account and the Balance Sheet</w:t>
      </w:r>
    </w:p>
    <w:p>
      <w:pPr>
        <w:spacing w:before="0" w:line="23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be certifie by the auditors appointed by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7" w:line="250" w:lineRule="exact"/>
        <w:ind w:left="310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7" w:line="240" w:lineRule="exact"/>
        <w:ind w:left="316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3489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213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Institute existing on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day preceding the date of commencement of this Act,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institution.</w:t>
      </w:r>
    </w:p>
    <w:p>
      <w:pPr>
        <w:spacing w:before="0" w:line="97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paid by the Corporation hereby constituted and all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debts due to and subscriptions and contributions payable to</w:t>
      </w:r>
    </w:p>
    <w:p>
      <w:pPr>
        <w:spacing w:before="0" w:line="22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Institute on that day shall be paid to the Corporation for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purpose of this Act.</w:t>
      </w:r>
    </w:p>
    <w:p>
      <w:pPr>
        <w:spacing w:before="131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</w:p>
    <w:p>
      <w:pPr>
        <w:spacing w:before="0" w:line="17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take and hold any property movable or immovable which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or</w:t>
      </w:r>
    </w:p>
    <w:p>
      <w:pPr>
        <w:spacing w:before="0" w:line="13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may become vested in it by virtue of any purchase grant, gift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 or otherwise and all such property</w:t>
      </w:r>
    </w:p>
    <w:p>
      <w:pPr>
        <w:spacing w:before="0" w:line="22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held by the Corporation for the purposes of this Act,</w:t>
      </w:r>
    </w:p>
    <w:p>
      <w:pPr>
        <w:spacing w:before="0" w:line="223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subject to the rules in force for the time being of the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with full power to the rules in force for the time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being of the Corporation with full power to sell mortgage,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lease, exchange or otherwise dispose of the same.</w:t>
      </w:r>
    </w:p>
    <w:p>
      <w:pPr>
        <w:spacing w:before="170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be in the custody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Board of Management and it shall not be affixed to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4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any instrument whatsoever, except in the presence of a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 of the Board of Management and the Secretary or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authorized by the Board of Management, who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shall sign their names to the instrument in token of their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presence, and such signing shall be independent of the</w:t>
      </w:r>
    </w:p>
    <w:p>
      <w:pPr>
        <w:spacing w:before="0" w:line="22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signing of any person as a witness.</w:t>
      </w:r>
    </w:p>
    <w:p>
      <w:pPr>
        <w:spacing w:before="196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6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given or transferred to some other institution having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objects similar to those of the Corporation and which by its</w:t>
      </w:r>
    </w:p>
    <w:p>
      <w:pPr>
        <w:spacing w:before="0" w:line="22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rules is prohibited from distributing any income or property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among its members.</w:t>
      </w:r>
    </w:p>
    <w:p>
      <w:pPr>
        <w:spacing w:before="151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7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47" w:line="22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6.62mm;margin-top:54.70mm;width:112.54mm;height:21.52mm;margin-left:46.62mm;margin-top:54.70mm;width:112.54mm;height:21.5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6" w:line="24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Mahanuwara, Asgiriya, Palipana Sri Chandananda</w:t>
      </w:r>
    </w:p>
    <w:p>
      <w:pPr>
        <w:spacing w:before="0" w:line="240" w:lineRule="exact"/>
        <w:ind w:left="4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International Buddhist Research and Development</w:t>
      </w:r>
    </w:p>
    <w:p>
      <w:pPr>
        <w:spacing w:before="0" w:line="240" w:lineRule="exact"/>
        <w:ind w:left="4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Centre (Incorporation) Act, No. 52 of 2007</w:t>
      </w:r>
    </w:p>
    <w:p>
      <w:pPr>
        <w:spacing w:before="861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5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2" w:lineRule="exact"/>
        <w:ind w:left="4395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