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19" w:line="364" w:lineRule="exact"/>
        <w:ind w:left="3169"/>
      </w:pPr>
      <w:r>
        <w:rPr>
          <w:spacing w:val="14"/>
          <w:sz w:val="28"/>
          <w:szCs w:val="28"/>
          <w:rFonts w:ascii="Arial" w:hAnsi="Arial" w:cs="Arial"/>
          <w:color w:val="231f20"/>
        </w:rPr>
        <w:t xml:space="preserve">HAMPTON VILLAGE SRI LANKA TRUST</w:t>
      </w:r>
    </w:p>
    <w:p>
      <w:pPr>
        <w:spacing w:before="0" w:line="336" w:lineRule="exact"/>
        <w:ind w:left="3321"/>
      </w:pPr>
      <w:r>
        <w:rPr>
          <w:spacing w:val="6"/>
          <w:sz w:val="28"/>
          <w:szCs w:val="28"/>
          <w:rFonts w:ascii="Arial" w:hAnsi="Arial" w:cs="Arial"/>
          <w:color w:val="231f20"/>
        </w:rPr>
        <w:t xml:space="preserve">(INCORPORATION) ACT, No. 3 OF 2010</w:t>
      </w:r>
    </w:p>
    <w:p>
      <w:pPr>
        <w:spacing w:before="984" w:line="260" w:lineRule="exact"/>
        <w:ind w:left="4549"/>
      </w:pPr>
      <w:r>
        <w:rPr>
          <w:sz w:val="20"/>
          <w:szCs w:val="20"/>
          <w:rFonts w:ascii="Arial" w:hAnsi="Arial" w:cs="Arial"/>
          <w:color w:val="231f20"/>
        </w:rPr>
        <w:t xml:space="preserve">[Certified on 09th February, 2010]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2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February 12, 2010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83mm;margin-top:59.28mm;width:4.59mm;height:6.00mm;margin-left:130.83mm;margin-top:59.28mm;width:4.59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92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Hampton Village Sri Lanka Trust</w:t>
      </w:r>
      <w:r>
        <w:rPr>
          <w:sz w:val="20"/>
          <w:szCs w:val="20"/>
          <w:rFonts w:ascii="Arial" w:hAnsi="Arial" w:cs="Arial"/>
          <w:color w:val="231f20"/>
          <w:spacing w:val="8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88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3 of 2010</w:t>
      </w:r>
    </w:p>
    <w:p>
      <w:pPr>
        <w:spacing w:before="236" w:line="241" w:lineRule="exact"/>
        <w:ind w:left="388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09th February, 2010]</w:t>
      </w:r>
    </w:p>
    <w:p>
      <w:pPr>
        <w:spacing w:before="22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(Inc.) 21/2007.</w:t>
      </w:r>
    </w:p>
    <w:p>
      <w:pPr>
        <w:spacing w:before="226" w:line="241" w:lineRule="exact"/>
        <w:ind w:left="2944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14"/>
          <w:szCs w:val="14"/>
          <w:rFonts w:ascii="Arial" w:hAnsi="Arial" w:cs="Arial"/>
          <w:color w:val="231f20"/>
        </w:rPr>
        <w:t xml:space="preserve">AMPTON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14"/>
          <w:szCs w:val="14"/>
          <w:rFonts w:ascii="Arial" w:hAnsi="Arial" w:cs="Arial"/>
          <w:color w:val="231f20"/>
        </w:rPr>
        <w:t xml:space="preserve">ILLAGE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RUST</w:t>
      </w:r>
    </w:p>
    <w:p>
      <w:pPr>
        <w:spacing w:before="182" w:line="23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WHEREAS</w:t>
      </w:r>
      <w:r>
        <w:rPr>
          <w:sz w:val="20"/>
          <w:szCs w:val="20"/>
          <w:rFonts w:ascii="Arial" w:hAnsi="Arial" w:cs="Arial"/>
          <w:color w:val="231f20"/>
          <w:spacing w:val="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Trust called and known as “The Relief Fund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4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Hampton Sri Lanka Trust” has heretofore been established in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Sri Lanka for the purpose,</w:t>
      </w:r>
      <w:r>
        <w:rPr>
          <w:sz w:val="20"/>
          <w:szCs w:val="20"/>
          <w:rFonts w:ascii="Arial" w:hAnsi="Arial" w:cs="Arial"/>
          <w:color w:val="231f2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inter alia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, of constructing model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village to be named as the “Hampton Village- Sri Lanka” for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Tsunami victims in Sri Lanka in the District of Galle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according to the rules agreed to by its members:</w:t>
      </w:r>
    </w:p>
    <w:p>
      <w:pPr>
        <w:spacing w:before="207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WHEREAS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Board of Trustees of the said Trust has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applied for the incorporation  of the said Trust and it will be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the public advantage to Grant the application:</w:t>
      </w:r>
    </w:p>
    <w:p>
      <w:pPr>
        <w:spacing w:before="22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:–</w:t>
      </w:r>
    </w:p>
    <w:p>
      <w:pPr>
        <w:spacing w:before="187" w:line="23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22"/>
          <w:sz w:val="20"/>
          <w:szCs w:val="20"/>
          <w:rFonts w:ascii="Arial" w:hAnsi="Arial" w:cs="Arial"/>
          <w:color w:val="231f20"/>
        </w:rPr>
        <w:t xml:space="preserve">This Act may be cited as the Hampton</w:t>
      </w:r>
      <w:r>
        <w:rPr>
          <w:sz w:val="20"/>
          <w:szCs w:val="20"/>
          <w:rFonts w:ascii="Arial" w:hAnsi="Arial" w:cs="Arial"/>
          <w:color w:val="231f2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4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Village Sri Lanka Trust (Incorporation)  Act, No. 3 of 2010.</w:t>
      </w:r>
    </w:p>
    <w:p>
      <w:pPr>
        <w:spacing w:before="143" w:line="25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Hampton</w:t>
      </w:r>
    </w:p>
    <w:p>
      <w:pPr>
        <w:spacing w:before="0" w:line="112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such and so many persons as are now members of “The Relief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Village Sri Lanka</w:t>
      </w:r>
    </w:p>
    <w:p>
      <w:pPr>
        <w:spacing w:before="0" w:line="15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Fund Hampton Sri Lanka Trust” (hereinafter referred to as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Trust.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“The Relief Fund Hampton Sri Lanka Trust”) or shall hereafter</w:t>
      </w:r>
    </w:p>
    <w:p>
      <w:pPr>
        <w:spacing w:before="0" w:line="235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be admitted as members of the Corporation hereby constituted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shall be a body corporate (hereinafter referred to as the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“Corporation”) with perpetual succession and a common seal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the name and style of The Hompton Village Sri Lanka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Trust and by that name may sue and be sued, with full power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authority to have and to use a common seal and to alter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same at its pleasure.</w:t>
      </w:r>
    </w:p>
    <w:p>
      <w:pPr>
        <w:spacing w:before="244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231f20"/>
          <w:spacing w:val="18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9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construct a model Village named Hampton</w:t>
      </w:r>
    </w:p>
    <w:p>
      <w:pPr>
        <w:spacing w:before="1" w:line="241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Village-Sri Lanka consisting of fifty houses, 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89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Hampton Village Sri Lanka Trust</w:t>
      </w:r>
    </w:p>
    <w:p>
      <w:pPr>
        <w:spacing w:before="0" w:line="237" w:lineRule="exact"/>
        <w:ind w:left="524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3 of 2010</w:t>
      </w:r>
    </w:p>
    <w:p>
      <w:pPr>
        <w:spacing w:before="250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community centre including a play ground, place</w:t>
      </w:r>
    </w:p>
    <w:p>
      <w:pPr>
        <w:spacing w:before="1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worship, facilities for the sale of necessaries and</w:t>
      </w:r>
    </w:p>
    <w:p>
      <w:pPr>
        <w:spacing w:before="1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groceries and other buildings or structures that may</w:t>
      </w:r>
    </w:p>
    <w:p>
      <w:pPr>
        <w:spacing w:before="1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required for the said village;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take all necessary measures for the maintenance,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improvement and management of the said village;</w:t>
      </w:r>
    </w:p>
    <w:p>
      <w:pPr>
        <w:spacing w:before="265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promote cultural relationships between the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residents of Hampton Village Sri Lanka and the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residents in Hampden Middlesex, England;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advance the education and training of students</w:t>
      </w:r>
    </w:p>
    <w:p>
      <w:pPr>
        <w:spacing w:before="1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yong persons in particular of those residents in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 Village;</w:t>
      </w:r>
    </w:p>
    <w:p>
      <w:pPr>
        <w:spacing w:before="26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promote the economic, social and cultural</w:t>
      </w:r>
    </w:p>
    <w:p>
      <w:pPr>
        <w:spacing w:before="1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advancement, in particular of those residents in the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Village.</w:t>
      </w:r>
    </w:p>
    <w:p>
      <w:pPr>
        <w:spacing w:before="165" w:line="2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The affairs of the Corporation shall subjects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rules of the Corporation to be made under section 6, be</w:t>
      </w:r>
    </w:p>
    <w:p>
      <w:pPr>
        <w:spacing w:before="1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administered by a Board of Directors (hereinafter referred to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 the “Board”) consisting of the Chairman, Vice Chairman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other office bearers elected or appointed in accordance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with the rules of the Corporation.</w:t>
      </w:r>
    </w:p>
    <w:p>
      <w:pPr>
        <w:spacing w:before="267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The first Board shall consist of the members of the</w:t>
      </w:r>
    </w:p>
    <w:p>
      <w:pPr>
        <w:spacing w:before="1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Board of Trustees of the Relief Fund Hampton Sri Lanka</w:t>
      </w:r>
    </w:p>
    <w:p>
      <w:pPr>
        <w:spacing w:before="13" w:line="241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Trust on the day immediately preceding the date of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commencement of this Act.</w:t>
      </w:r>
    </w:p>
    <w:p>
      <w:pPr>
        <w:spacing w:before="267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 The members of the Board shall act purely in an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honorary capacity and shall not be entitled to receive any</w:t>
      </w:r>
    </w:p>
    <w:p>
      <w:pPr>
        <w:spacing w:before="1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remuneration by way of salary, allowance or honorarium,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but shall be re-imbursed for expenses actually incured by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them in the performance of their duties.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92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Hampton Village Sri Lanka Trust</w:t>
      </w:r>
      <w:r>
        <w:rPr>
          <w:sz w:val="20"/>
          <w:szCs w:val="20"/>
          <w:rFonts w:ascii="Arial" w:hAnsi="Arial" w:cs="Arial"/>
          <w:color w:val="231f20"/>
          <w:spacing w:val="8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88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3 of 2010</w:t>
      </w:r>
    </w:p>
    <w:p>
      <w:pPr>
        <w:spacing w:before="241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(4) A person shall be disqualified from being appointed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continuing in office as amember of the Board, if he :—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is a person who having been  declared an insolvent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bankrupt under any law in force in Sri Lanka, or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other country, is an undercharged insolvent or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bankrupt;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is convicted of an offence involving moral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turpitude;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is under any law in force in Sri Lanka found or</w:t>
      </w:r>
    </w:p>
    <w:p>
      <w:pPr>
        <w:spacing w:before="0" w:line="239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declared to be of unsound mind or mentally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deficient;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is absent from Sri Lanka for a continuous period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exceeding one year without perviously obtaining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consent of the Board; or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neglects or fails to act as a Director.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20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perform and execute all such acts, matters and things</w:t>
      </w:r>
    </w:p>
    <w:p>
      <w:pPr>
        <w:spacing w:before="0" w:line="239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whatsoever, as are necessary or desirable for the promotion or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furtherance of the objects of the Corporation or any one of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them including the power to:—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acquire, hold, take or give on lease or hire, mortgage,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pledge, sell, exchange, or otherwise alienate or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dispose of any immovable property for the purpose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the Corporation;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enter into and perform or carry out, whether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directly or through any officer or agent authorized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that behalf by the Corporation, all such contracts</w:t>
      </w:r>
    </w:p>
    <w:p>
      <w:pPr>
        <w:spacing w:before="0" w:line="239" w:lineRule="exact"/>
        <w:ind w:left="359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or agreements as may be necessary for the attainment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objects or the exercise of the powers of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89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Hampton Village Sri Lanka Trust</w:t>
      </w:r>
    </w:p>
    <w:p>
      <w:pPr>
        <w:spacing w:before="0" w:line="237" w:lineRule="exact"/>
        <w:ind w:left="524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3 of 2010</w:t>
      </w:r>
    </w:p>
    <w:p>
      <w:pPr>
        <w:spacing w:before="24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accept gifts, donations and bequests in cash or in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kind;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invest its funds, and to maintain current deposits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savings accounts in any bank;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borrow or invest money for the pusposes of the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Corporation in such manner and upon such security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 the Corporation may think fit;  and</w:t>
      </w:r>
    </w:p>
    <w:p>
      <w:pPr>
        <w:spacing w:before="239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appoint, employ, transfer, exercise disciplinary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control over and dismiss officers and servants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required for the carrying out of the objects of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03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80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It shall be lawful for the Corporation from time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9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time, at any general meeting of the Corporation and by a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majority of not less than two thirds of the members present</w:t>
      </w:r>
    </w:p>
    <w:p>
      <w:pPr>
        <w:spacing w:before="0" w:line="239" w:lineRule="exact"/>
        <w:ind w:left="422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and voting, to make rules not inconsistent with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provisions of this Act or other written law on all or any of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following matters :—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classification of members and membership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and the admission, withdrawal or expulsion of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members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election of office-bearers, the resignation from,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vaction of, or removel from office and their powers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and duties 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election of  members to the Board and its powers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conduct and duties 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powers, duties and functions of the various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officers, agents and servants of the Corporation 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procedure to be observed at meetings of the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Board or the summoning and holding of meetings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Board, the time, places, notices and agenda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92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Hampton Village Sri Lanka Trust</w:t>
      </w:r>
      <w:r>
        <w:rPr>
          <w:sz w:val="20"/>
          <w:szCs w:val="20"/>
          <w:rFonts w:ascii="Arial" w:hAnsi="Arial" w:cs="Arial"/>
          <w:color w:val="231f20"/>
          <w:spacing w:val="8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88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3 of 2010</w:t>
      </w:r>
    </w:p>
    <w:p>
      <w:pPr>
        <w:spacing w:before="241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such meetings and the quorum therefore and the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conduct of business thereat ; and</w:t>
      </w:r>
    </w:p>
    <w:p>
      <w:pPr>
        <w:spacing w:before="239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administration and management of the property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Corporation and the custody of its funds.</w:t>
      </w:r>
    </w:p>
    <w:p>
      <w:pPr>
        <w:spacing w:before="238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Any rule made by the Corporation may be amended,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altered, added to or rescinded at a like meeting and in like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manner as a rule made under subsection (1).</w:t>
      </w:r>
    </w:p>
    <w:p>
      <w:pPr>
        <w:spacing w:before="239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The members of the Corporation shall at all times be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subject to the rules of the Corporation.</w:t>
      </w:r>
    </w:p>
    <w:p>
      <w:pPr>
        <w:spacing w:before="208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moneys heretofore or hereafter received by way of gifts,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testamentary dispositions, transfers, donations, subscriptions,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contributions, fees or grants or any financial investment shall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deposited to the credit of the fund of the Corporation in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one or more Banks as may be determined by the Board.</w:t>
      </w:r>
    </w:p>
    <w:p>
      <w:pPr>
        <w:spacing w:before="239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All expenses incurred by the Corporation in exercising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discharging its powers and functions shall be paid out of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fund.</w:t>
      </w:r>
    </w:p>
    <w:p>
      <w:pPr>
        <w:spacing w:before="223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financial year of the Corporation shall be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Audit and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calendar year.</w:t>
      </w:r>
      <w:r>
        <w:rPr>
          <w:sz w:val="20"/>
          <w:szCs w:val="20"/>
          <w:rFonts w:ascii="Arial" w:hAnsi="Arial" w:cs="Arial"/>
          <w:color w:val="231f20"/>
          <w:spacing w:val="35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Accounts.</w:t>
      </w:r>
    </w:p>
    <w:p>
      <w:pPr>
        <w:spacing w:before="32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Corporation shall cause proper accounts to be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kept of its income and expenditure, assets and liabilities and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other transactions of the Corporation.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accounts of the Corporation shall be audited by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qualified auditor appointed by the Board.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this section“qualified auditor” means-</w:t>
      </w:r>
    </w:p>
    <w:p>
      <w:pPr>
        <w:spacing w:before="239" w:line="241" w:lineRule="exact"/>
        <w:ind w:left="4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5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 individual who being a member of the</w:t>
      </w:r>
    </w:p>
    <w:p>
      <w:pPr>
        <w:spacing w:before="0" w:line="239" w:lineRule="exact"/>
        <w:ind w:left="4437"/>
      </w:pPr>
      <w:r>
        <w:rPr>
          <w:sz w:val="20"/>
          <w:szCs w:val="20"/>
          <w:rFonts w:ascii="Arial" w:hAnsi="Arial" w:cs="Arial"/>
          <w:color w:val="231f20"/>
        </w:rPr>
        <w:t xml:space="preserve">Institute of Chartered Accountants of</w:t>
      </w:r>
    </w:p>
    <w:p>
      <w:pPr>
        <w:spacing w:before="0" w:line="240" w:lineRule="exact"/>
        <w:ind w:left="443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Sri Lanka, or of any other institute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89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Hampton Village Sri Lanka Trust</w:t>
      </w:r>
    </w:p>
    <w:p>
      <w:pPr>
        <w:spacing w:before="0" w:line="237" w:lineRule="exact"/>
        <w:ind w:left="524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3 of 2010</w:t>
      </w:r>
    </w:p>
    <w:p>
      <w:pPr>
        <w:spacing w:before="236" w:line="241" w:lineRule="exact"/>
        <w:ind w:left="578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established by law, possesses a certificate</w:t>
      </w:r>
    </w:p>
    <w:p>
      <w:pPr>
        <w:spacing w:before="0" w:line="235" w:lineRule="exact"/>
        <w:ind w:left="57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practice as an accountant issued by</w:t>
      </w:r>
    </w:p>
    <w:p>
      <w:pPr>
        <w:spacing w:before="0" w:line="232" w:lineRule="exact"/>
        <w:ind w:left="5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  Institute; or</w:t>
      </w:r>
    </w:p>
    <w:p>
      <w:pPr>
        <w:spacing w:before="227" w:line="241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5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firm of accountants each of the resident</w:t>
      </w:r>
    </w:p>
    <w:p>
      <w:pPr>
        <w:spacing w:before="0" w:line="235" w:lineRule="exact"/>
        <w:ind w:left="5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partners of which, being a member of the</w:t>
      </w:r>
    </w:p>
    <w:p>
      <w:pPr>
        <w:spacing w:before="0" w:line="232" w:lineRule="exact"/>
        <w:ind w:left="5783"/>
      </w:pPr>
      <w:r>
        <w:rPr>
          <w:sz w:val="20"/>
          <w:szCs w:val="20"/>
          <w:rFonts w:ascii="Arial" w:hAnsi="Arial" w:cs="Arial"/>
          <w:color w:val="231f20"/>
        </w:rPr>
        <w:t xml:space="preserve">Institute of Chartered Accountants of</w:t>
      </w:r>
    </w:p>
    <w:p>
      <w:pPr>
        <w:spacing w:before="0" w:line="235" w:lineRule="exact"/>
        <w:ind w:left="578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Sri Lanka or of any other institute</w:t>
      </w:r>
    </w:p>
    <w:p>
      <w:pPr>
        <w:spacing w:before="0" w:line="232" w:lineRule="exact"/>
        <w:ind w:left="578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established  by law, possesses a certificate</w:t>
      </w:r>
    </w:p>
    <w:p>
      <w:pPr>
        <w:spacing w:before="0" w:line="235" w:lineRule="exact"/>
        <w:ind w:left="57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practice as an accountant issued by</w:t>
      </w:r>
    </w:p>
    <w:p>
      <w:pPr>
        <w:spacing w:before="0" w:line="232" w:lineRule="exact"/>
        <w:ind w:left="5783"/>
      </w:pPr>
      <w:r>
        <w:rPr>
          <w:sz w:val="20"/>
          <w:szCs w:val="20"/>
          <w:rFonts w:ascii="Arial" w:hAnsi="Arial" w:cs="Arial"/>
          <w:color w:val="231f20"/>
        </w:rPr>
        <w:t xml:space="preserve">such Institute.</w:t>
      </w:r>
    </w:p>
    <w:p>
      <w:pPr>
        <w:spacing w:before="172" w:line="23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  <w:r>
        <w:rPr>
          <w:sz w:val="16"/>
          <w:szCs w:val="16"/>
          <w:rFonts w:ascii="Arial" w:hAnsi="Arial" w:cs="Arial"/>
          <w:color w:val="231f20"/>
          <w:spacing w:val="9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seal of the Corporation shall be in the custody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Secretary and shall not be affixed to any instrument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whatsoever except  in the presence of the President and the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Secretay of the Corporation or such other person duly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authorized by the Board who shall sign their names on the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instrument in token of their presence and such signing shall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independent of the signing of any person as a witness.</w:t>
      </w:r>
    </w:p>
    <w:p>
      <w:pPr>
        <w:spacing w:before="134" w:line="25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Debts due by</w:t>
      </w:r>
      <w:r>
        <w:rPr>
          <w:sz w:val="16"/>
          <w:szCs w:val="16"/>
          <w:rFonts w:ascii="Arial" w:hAnsi="Arial" w:cs="Arial"/>
          <w:color w:val="000100"/>
          <w:spacing w:val="7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All debts and liabilities of the Relief Fund Hampton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and payable to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Trust.</w:t>
      </w:r>
      <w:r>
        <w:rPr>
          <w:sz w:val="16"/>
          <w:szCs w:val="16"/>
          <w:rFonts w:ascii="Arial" w:hAnsi="Arial" w:cs="Arial"/>
          <w:color w:val="000100"/>
          <w:spacing w:val="71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Sri Lanka Trust existing on the day preceding the date of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commencement of this Act shall be paid by the Corporation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hereby constituted and all debts due to, subscriptions and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contributions payable to the Relief Fund Hampton Sri Lanka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Trust on that day shall be paid to the Corporation for the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purpose of this Act.</w:t>
      </w:r>
    </w:p>
    <w:p>
      <w:pPr>
        <w:spacing w:before="206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Limitation of</w:t>
      </w:r>
      <w:r>
        <w:rPr>
          <w:sz w:val="16"/>
          <w:szCs w:val="16"/>
          <w:rFonts w:ascii="Arial" w:hAnsi="Arial" w:cs="Arial"/>
          <w:color w:val="231f20"/>
          <w:spacing w:val="7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 member of the Corporation shall, for the purpose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Liabilitiy of</w:t>
      </w:r>
      <w:r>
        <w:rPr>
          <w:sz w:val="16"/>
          <w:szCs w:val="16"/>
          <w:rFonts w:ascii="Arial" w:hAnsi="Arial" w:cs="Arial"/>
          <w:color w:val="231f20"/>
          <w:spacing w:val="56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discharging the debts and liabilities of the Corporation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</w:p>
    <w:p>
      <w:pPr>
        <w:spacing w:before="0" w:line="124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any other purpose, be liable to make any contribution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exceeding the amount of such membership fees as may be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due from him to the Corporation.</w:t>
      </w:r>
    </w:p>
    <w:p>
      <w:pPr>
        <w:spacing w:before="139" w:line="25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Application of</w:t>
      </w:r>
      <w:r>
        <w:rPr>
          <w:sz w:val="16"/>
          <w:szCs w:val="16"/>
          <w:rFonts w:ascii="Arial" w:hAnsi="Arial" w:cs="Arial"/>
          <w:color w:val="000100"/>
          <w:spacing w:val="6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3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moneys and property of the Corporation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moneys and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property.</w:t>
      </w:r>
      <w:r>
        <w:rPr>
          <w:sz w:val="16"/>
          <w:szCs w:val="16"/>
          <w:rFonts w:ascii="Arial" w:hAnsi="Arial" w:cs="Arial"/>
          <w:color w:val="000100"/>
          <w:spacing w:val="7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howsoever derived shall be applied solely towards the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promotion of its objects as set forth herein and no portion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thereof shall be paid or transferred directly or indirectly by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way of dividend, bonus, profit or otherwise howsoever to the</w:t>
      </w:r>
    </w:p>
    <w:p>
      <w:pPr>
        <w:spacing w:before="0" w:line="23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members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92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Hampton Village Sri Lanka Trust</w:t>
      </w:r>
      <w:r>
        <w:rPr>
          <w:sz w:val="20"/>
          <w:szCs w:val="20"/>
          <w:rFonts w:ascii="Arial" w:hAnsi="Arial" w:cs="Arial"/>
          <w:color w:val="231f20"/>
          <w:spacing w:val="8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88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3 of 2010</w:t>
      </w:r>
    </w:p>
    <w:p>
      <w:pPr>
        <w:spacing w:before="249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Subject to the provisions of this Act, the Corporation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Corporation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shall be able and capable in law to acquire and hold any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may hold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</w:p>
    <w:p>
      <w:pPr>
        <w:spacing w:before="0" w:line="1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property, movable or immovable, which may become vested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movable and</w:t>
      </w:r>
    </w:p>
    <w:p>
      <w:pPr>
        <w:spacing w:before="0" w:line="24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 it by virtue of any purchase, grant, gift, testamentary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immovable.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disposition or otherwise, and all such property shall be held</w:t>
      </w:r>
    </w:p>
    <w:p>
      <w:pPr>
        <w:spacing w:before="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Corporation for the purposes of the Corporation and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subject to the rules of the Corporation made under section 6,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with full power to sell, mortgage, lease, exchange or otherwise</w:t>
      </w:r>
    </w:p>
    <w:p>
      <w:pPr>
        <w:spacing w:before="8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dispose of, the same.</w:t>
      </w:r>
    </w:p>
    <w:p>
      <w:pPr>
        <w:spacing w:before="256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91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07" w:lineRule="exact"/>
        <w:ind w:left="287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0" w:line="235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distributed among the members of the Corporation but shall</w:t>
      </w:r>
    </w:p>
    <w:p>
      <w:pPr>
        <w:spacing w:before="0" w:line="232" w:lineRule="exact"/>
        <w:ind w:left="287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be given or transferred to some other association or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associations having objects similar to the objects of the</w:t>
      </w:r>
    </w:p>
    <w:p>
      <w:pPr>
        <w:spacing w:before="0" w:line="237" w:lineRule="exact"/>
        <w:ind w:left="2876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Corporation, and which is, or are by the rules thereof</w:t>
      </w:r>
    </w:p>
    <w:p>
      <w:pPr>
        <w:spacing w:before="3" w:line="241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prohibited from distributing any income or profit among its</w:t>
      </w:r>
    </w:p>
    <w:p>
      <w:pPr>
        <w:spacing w:before="6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their members. Such association or associations shall be</w:t>
      </w:r>
    </w:p>
    <w:p>
      <w:pPr>
        <w:spacing w:before="8" w:line="241" w:lineRule="exact"/>
        <w:ind w:left="287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determined by the members of the Corporation at or</w:t>
      </w:r>
    </w:p>
    <w:p>
      <w:pPr>
        <w:spacing w:before="6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immediately before the time of dissolution of the Corporation.</w:t>
      </w:r>
    </w:p>
    <w:p>
      <w:pPr>
        <w:spacing w:before="235" w:line="22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95" w:lineRule="exact"/>
        <w:ind w:left="2876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affect the rights of the Republic or any body politic or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Repubilc and</w:t>
      </w:r>
    </w:p>
    <w:p>
      <w:pPr>
        <w:spacing w:before="0" w:line="150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corporate.</w:t>
      </w:r>
      <w:r>
        <w:rPr>
          <w:sz w:val="20"/>
          <w:szCs w:val="20"/>
          <w:rFonts w:ascii="Arial" w:hAnsi="Arial" w:cs="Arial"/>
          <w:color w:val="231f20"/>
          <w:spacing w:val="4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249" w:line="214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Sinhala and Tamil text of this Act, the Sinhala text shall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45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0.28mm;margin-top:51.70mm;width:137.58mm;height:25.05mm;margin-left:10.28mm;margin-top:51.70mm;width:137.58mm;height:25.0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89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Hampton Village Sri Lanka Trust</w:t>
      </w:r>
    </w:p>
    <w:p>
      <w:pPr>
        <w:spacing w:before="0" w:line="237" w:lineRule="exact"/>
        <w:ind w:left="524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3 of 2010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66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