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99" w:line="364" w:lineRule="exact"/>
        <w:ind w:left="3777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ECONOMIC SERVICE CHARGE</w:t>
      </w:r>
    </w:p>
    <w:p>
      <w:pPr>
        <w:spacing w:before="0" w:line="336" w:lineRule="exact"/>
        <w:ind w:left="3522"/>
      </w:pPr>
      <w:r>
        <w:rPr>
          <w:spacing w:val="7"/>
          <w:sz w:val="28"/>
          <w:szCs w:val="28"/>
          <w:rFonts w:ascii="Arial" w:hAnsi="Arial" w:cs="Arial"/>
          <w:color w:val="231f20"/>
        </w:rPr>
        <w:t xml:space="preserve">(AMENDMENT) ACT, No. 11 OF 2011</w:t>
      </w:r>
    </w:p>
    <w:p>
      <w:pPr>
        <w:spacing w:before="883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73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9.28mm;width:4.23mm;height:6.00mm;margin-left:132.77mm;margin-top:59.28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5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Economic Service Charge (Amendment)</w:t>
      </w:r>
      <w:r>
        <w:rPr>
          <w:sz w:val="20"/>
          <w:szCs w:val="20"/>
          <w:rFonts w:ascii="Arial" w:hAnsi="Arial" w:cs="Arial"/>
          <w:color w:val="231f20"/>
          <w:spacing w:val="5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11 of 2011</w:t>
      </w:r>
    </w:p>
    <w:p>
      <w:pPr>
        <w:spacing w:before="233" w:line="241" w:lineRule="exact"/>
        <w:ind w:left="398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31st March, 2011]</w:t>
      </w:r>
    </w:p>
    <w:p>
      <w:pPr>
        <w:spacing w:before="18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11/2011.</w:t>
      </w:r>
    </w:p>
    <w:p>
      <w:pPr>
        <w:spacing w:before="150" w:line="241" w:lineRule="exact"/>
        <w:ind w:left="3469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CONOMIC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ERVICE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HARGE</w:t>
      </w:r>
    </w:p>
    <w:p>
      <w:pPr>
        <w:spacing w:before="0" w:line="228" w:lineRule="exact"/>
        <w:ind w:left="4489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13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2006</w:t>
      </w:r>
    </w:p>
    <w:p>
      <w:pPr>
        <w:spacing w:before="15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:—</w:t>
      </w:r>
    </w:p>
    <w:p>
      <w:pPr>
        <w:spacing w:before="141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</w:t>
      </w:r>
      <w:r>
        <w:rPr>
          <w:sz w:val="20"/>
          <w:szCs w:val="20"/>
          <w:rFonts w:ascii="Arial" w:hAnsi="Arial" w:cs="Arial"/>
          <w:color w:val="000100"/>
          <w:spacing w:val="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Economic Service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2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Charge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(Amendment) Act, No. 11 of 2011.</w:t>
      </w:r>
    </w:p>
    <w:p>
      <w:pPr>
        <w:spacing w:before="129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1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Economic Service Charge</w:t>
      </w:r>
      <w:r>
        <w:rPr>
          <w:sz w:val="20"/>
          <w:szCs w:val="20"/>
          <w:rFonts w:ascii="Arial" w:hAnsi="Arial" w:cs="Arial"/>
          <w:color w:val="231f2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Act, No. 13 of 2006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(hereinafter referred to as the “principal enactment”) is hereby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Economic</w:t>
      </w:r>
    </w:p>
    <w:p>
      <w:pPr>
        <w:spacing w:before="0" w:line="114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in section 2 as follows:—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Service Charge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Act, No. 13 of</w:t>
      </w:r>
    </w:p>
    <w:p>
      <w:pPr>
        <w:spacing w:before="0" w:line="12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2006.</w:t>
      </w:r>
    </w:p>
    <w:p>
      <w:pPr>
        <w:spacing w:before="0" w:line="16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subsecion (2) thereof, of the following—</w:t>
      </w:r>
    </w:p>
    <w:p>
      <w:pPr>
        <w:spacing w:before="147" w:line="241" w:lineRule="exact"/>
        <w:ind w:left="358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commencing before March 31, 2007, does not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exceed ten million;</w:t>
      </w:r>
    </w:p>
    <w:p>
      <w:pPr>
        <w:spacing w:before="10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commencing on or after April 1, 2007, but</w:t>
      </w:r>
    </w:p>
    <w:p>
      <w:pPr>
        <w:spacing w:before="0" w:line="227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before April 1, 2011, does not exceed rupees</w:t>
      </w:r>
    </w:p>
    <w:p>
      <w:pPr>
        <w:spacing w:before="0" w:line="230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seven million five hundred thousand;</w:t>
      </w:r>
    </w:p>
    <w:p>
      <w:pPr>
        <w:spacing w:before="109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commencing on or after April 1, 2011, does</w:t>
      </w:r>
    </w:p>
    <w:p>
      <w:pPr>
        <w:spacing w:before="0" w:line="230" w:lineRule="exact"/>
        <w:ind w:left="40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not exceed rupees twenty-five million.”; and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by the substitution for the word “Schedule” in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1 of that section the words “Schedule I”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“Schedule II” as the case may be of the words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“First Schedule”.</w:t>
      </w:r>
    </w:p>
    <w:p>
      <w:pPr>
        <w:spacing w:before="136" w:line="216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7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000100"/>
          <w:spacing w:val="30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7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3102"/>
      </w:pPr>
      <w:r>
        <w:rPr>
          <w:sz w:val="20"/>
          <w:szCs w:val="20"/>
          <w:rFonts w:ascii="Arial" w:hAnsi="Arial" w:cs="Arial"/>
          <w:color w:val="000100"/>
        </w:rPr>
        <w:t xml:space="preserve">“(1)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re-numbering of that section as subsection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7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(1) thereof;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 the re-numbered subsection (1), by the substitution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words “for any relevant quarter shall,” of the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words and figures “for any relevant quarter ending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 or before March 31, 2011 shall,”; and</w:t>
      </w:r>
    </w:p>
    <w:p>
      <w:pPr>
        <w:spacing w:before="16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005581—4,040 (03/2011)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6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Economic Service Charge (Amendment)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11 of 2011</w:t>
      </w:r>
    </w:p>
    <w:p>
      <w:pPr>
        <w:spacing w:before="23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addition immediately after the re-numbered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 of the following new subsecion:—</w:t>
      </w:r>
    </w:p>
    <w:p>
      <w:pPr>
        <w:spacing w:before="188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“(2) Every person and partnership chargeable</w:t>
      </w:r>
    </w:p>
    <w:p>
      <w:pPr>
        <w:spacing w:before="0" w:line="230" w:lineRule="exact"/>
        <w:ind w:left="50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with the service charge for any relevant quarter</w:t>
      </w:r>
    </w:p>
    <w:p>
      <w:pPr>
        <w:spacing w:before="0" w:line="230" w:lineRule="exact"/>
        <w:ind w:left="506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commencing on or after April 1, 2011 shall,</w:t>
      </w:r>
    </w:p>
    <w:p>
      <w:pPr>
        <w:spacing w:before="0" w:line="227" w:lineRule="exact"/>
        <w:ind w:left="50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whether or not requested by an Assessor to do so,</w:t>
      </w:r>
    </w:p>
    <w:p>
      <w:pPr>
        <w:spacing w:before="0" w:line="230" w:lineRule="exact"/>
        <w:ind w:left="50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furnish to an Assessor, on or before the twentieth</w:t>
      </w:r>
    </w:p>
    <w:p>
      <w:pPr>
        <w:spacing w:before="0" w:line="230" w:lineRule="exact"/>
        <w:ind w:left="50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day of April of each year, a return for the year of</w:t>
      </w:r>
    </w:p>
    <w:p>
      <w:pPr>
        <w:spacing w:before="0" w:line="230" w:lineRule="exact"/>
        <w:ind w:left="50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assessment ending on March 31 of that year, in</w:t>
      </w:r>
    </w:p>
    <w:p>
      <w:pPr>
        <w:spacing w:before="0" w:line="230" w:lineRule="exact"/>
        <w:ind w:left="50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form and containing such particulars as may</w:t>
      </w:r>
    </w:p>
    <w:p>
      <w:pPr>
        <w:spacing w:before="0" w:line="230" w:lineRule="exact"/>
        <w:ind w:left="50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specified by the Commissioner-General, of the</w:t>
      </w:r>
    </w:p>
    <w:p>
      <w:pPr>
        <w:spacing w:before="0" w:line="228" w:lineRule="exact"/>
        <w:ind w:left="50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relevent turnover of such person or partnership,</w:t>
      </w:r>
    </w:p>
    <w:p>
      <w:pPr>
        <w:spacing w:before="0" w:line="230" w:lineRule="exact"/>
        <w:ind w:left="50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 the case may be. The return shall also indicate</w:t>
      </w:r>
    </w:p>
    <w:p>
      <w:pPr>
        <w:spacing w:before="0" w:line="230" w:lineRule="exact"/>
        <w:ind w:left="50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basis of the calculation of the service charge</w:t>
      </w:r>
    </w:p>
    <w:p>
      <w:pPr>
        <w:spacing w:before="0" w:line="230" w:lineRule="exact"/>
        <w:ind w:left="506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and other details, if any, specified by the</w:t>
      </w:r>
    </w:p>
    <w:p>
      <w:pPr>
        <w:spacing w:before="0" w:line="230" w:lineRule="exact"/>
        <w:ind w:left="506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Commissioner-General in relation to this</w:t>
      </w:r>
    </w:p>
    <w:p>
      <w:pPr>
        <w:spacing w:before="0" w:line="230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section.”.</w:t>
      </w:r>
    </w:p>
    <w:p>
      <w:pPr>
        <w:spacing w:before="172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10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  <w:r>
        <w:rPr>
          <w:sz w:val="16"/>
          <w:szCs w:val="16"/>
          <w:rFonts w:ascii="Arial" w:hAnsi="Arial" w:cs="Arial"/>
          <w:color w:val="000100"/>
          <w:spacing w:val="41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10 of the principal enactment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section 10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 :—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36" w:line="197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“Turnover</w:t>
      </w:r>
      <w:r>
        <w:rPr>
          <w:sz w:val="16"/>
          <w:szCs w:val="16"/>
          <w:rFonts w:ascii="Arial" w:hAnsi="Arial" w:cs="Arial"/>
          <w:color w:val="000100"/>
          <w:spacing w:val="5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. (1) The turnover from the business of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from Islamic</w:t>
      </w:r>
      <w:r>
        <w:rPr>
          <w:sz w:val="16"/>
          <w:szCs w:val="16"/>
          <w:rFonts w:ascii="Arial" w:hAnsi="Arial" w:cs="Arial"/>
          <w:color w:val="000100"/>
          <w:spacing w:val="13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Islamic Financial Transaction shall be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Financial</w:t>
      </w:r>
    </w:p>
    <w:p>
      <w:pPr>
        <w:spacing w:before="0" w:line="92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chargeable to tax in terms of the provisions of</w:t>
      </w:r>
    </w:p>
    <w:p>
      <w:pPr>
        <w:spacing w:before="0" w:line="9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Transactions</w:t>
      </w:r>
    </w:p>
    <w:p>
      <w:pPr>
        <w:spacing w:before="0" w:line="13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to be</w:t>
      </w:r>
      <w:r>
        <w:rPr>
          <w:sz w:val="16"/>
          <w:szCs w:val="16"/>
          <w:rFonts w:ascii="Arial" w:hAnsi="Arial" w:cs="Arial"/>
          <w:color w:val="000100"/>
          <w:spacing w:val="68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Act.</w:t>
      </w:r>
    </w:p>
    <w:p>
      <w:pPr>
        <w:spacing w:before="59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chargeable to</w:t>
      </w:r>
    </w:p>
    <w:p>
      <w:pPr>
        <w:spacing w:before="0" w:line="17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tax.</w:t>
      </w:r>
      <w:r>
        <w:rPr>
          <w:sz w:val="16"/>
          <w:szCs w:val="16"/>
          <w:rFonts w:ascii="Arial" w:hAnsi="Arial" w:cs="Arial"/>
          <w:color w:val="000100"/>
          <w:spacing w:val="10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(2) The Commissioner-General of Inland</w:t>
      </w:r>
    </w:p>
    <w:p>
      <w:pPr>
        <w:spacing w:before="0" w:line="23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Revenue shall in order to determine the extent</w:t>
      </w:r>
    </w:p>
    <w:p>
      <w:pPr>
        <w:spacing w:before="0" w:line="230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of liability to tax of any particular Islamic</w:t>
      </w:r>
    </w:p>
    <w:p>
      <w:pPr>
        <w:spacing w:before="0" w:line="23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Financial Transaction, issue from time to time,</w:t>
      </w:r>
    </w:p>
    <w:p>
      <w:pPr>
        <w:spacing w:before="0" w:line="227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rules and guidelines as may be required</w:t>
      </w:r>
    </w:p>
    <w:p>
      <w:pPr>
        <w:spacing w:before="0" w:line="23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purpose of—</w:t>
      </w:r>
    </w:p>
    <w:p>
      <w:pPr>
        <w:spacing w:before="150" w:line="241" w:lineRule="exact"/>
        <w:ind w:left="563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identifying the circumstances which</w:t>
      </w:r>
    </w:p>
    <w:p>
      <w:pPr>
        <w:spacing w:before="0" w:line="230" w:lineRule="exact"/>
        <w:ind w:left="60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would amount to an Islamic Financial</w:t>
      </w:r>
    </w:p>
    <w:p>
      <w:pPr>
        <w:spacing w:before="0" w:line="228" w:lineRule="exact"/>
        <w:ind w:left="60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Transaction ; and</w:t>
      </w:r>
    </w:p>
    <w:p>
      <w:pPr>
        <w:spacing w:before="150" w:line="241" w:lineRule="exact"/>
        <w:ind w:left="5639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ascertaining the profit and income</w:t>
      </w:r>
    </w:p>
    <w:p>
      <w:pPr>
        <w:spacing w:before="0" w:line="230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arising out of any Islamic Financial</w:t>
      </w:r>
    </w:p>
    <w:p>
      <w:pPr>
        <w:spacing w:before="0" w:line="230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Transaction.”.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Economic Service Charge (Amendment)</w:t>
      </w:r>
      <w:r>
        <w:rPr>
          <w:sz w:val="20"/>
          <w:szCs w:val="20"/>
          <w:rFonts w:ascii="Arial" w:hAnsi="Arial" w:cs="Arial"/>
          <w:color w:val="231f20"/>
          <w:spacing w:val="5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11 of 2011</w:t>
      </w:r>
    </w:p>
    <w:p>
      <w:pPr>
        <w:spacing w:before="241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13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68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amended by the substitution for the definition of the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13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expression “person” of the following definition :—</w:t>
      </w:r>
      <w:r>
        <w:rPr>
          <w:sz w:val="20"/>
          <w:szCs w:val="20"/>
          <w:rFonts w:ascii="Arial" w:hAnsi="Arial" w:cs="Arial"/>
          <w:color w:val="000100"/>
          <w:spacing w:val="7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63" w:line="241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“person” includes a company or body of persons, but</w:t>
      </w:r>
    </w:p>
    <w:p>
      <w:pPr>
        <w:spacing w:before="11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does not include—</w:t>
      </w:r>
    </w:p>
    <w:p>
      <w:pPr>
        <w:spacing w:before="262" w:line="241" w:lineRule="exact"/>
        <w:ind w:left="34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registered society, within the meaning of</w:t>
      </w:r>
    </w:p>
    <w:p>
      <w:pPr>
        <w:spacing w:before="10" w:line="241" w:lineRule="exact"/>
        <w:ind w:left="38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Co-operative Societies Law, No. 5 of 1972</w:t>
      </w:r>
    </w:p>
    <w:p>
      <w:pPr>
        <w:spacing w:before="11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or under the respective Statute enacted by a</w:t>
      </w:r>
    </w:p>
    <w:p>
      <w:pPr>
        <w:spacing w:before="10" w:line="241" w:lineRule="exact"/>
        <w:ind w:left="3837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Provincial Council providing for such</w:t>
      </w:r>
    </w:p>
    <w:p>
      <w:pPr>
        <w:spacing w:before="10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registration;</w:t>
      </w:r>
    </w:p>
    <w:p>
      <w:pPr>
        <w:spacing w:before="263" w:line="241" w:lineRule="exact"/>
        <w:ind w:left="34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person carrying on business as an owner or</w:t>
      </w:r>
    </w:p>
    <w:p>
      <w:pPr>
        <w:spacing w:before="10" w:line="241" w:lineRule="exact"/>
        <w:ind w:left="38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charterer of an aircraft or ship;</w:t>
      </w:r>
    </w:p>
    <w:p>
      <w:pPr>
        <w:spacing w:before="263" w:line="241" w:lineRule="exact"/>
        <w:ind w:left="344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government institution or local authority as</w:t>
      </w:r>
    </w:p>
    <w:p>
      <w:pPr>
        <w:spacing w:before="10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defined in the Inland Revenue Act, No. 10 of</w:t>
      </w:r>
    </w:p>
    <w:p>
      <w:pPr>
        <w:spacing w:before="11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2006;</w:t>
      </w:r>
    </w:p>
    <w:p>
      <w:pPr>
        <w:spacing w:before="262" w:line="241" w:lineRule="exact"/>
        <w:ind w:left="34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distributor;</w:t>
      </w:r>
    </w:p>
    <w:p>
      <w:pPr>
        <w:spacing w:before="263" w:line="241" w:lineRule="exact"/>
        <w:ind w:left="344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dealer in a lottery;</w:t>
      </w:r>
    </w:p>
    <w:p>
      <w:pPr>
        <w:spacing w:before="263" w:line="241" w:lineRule="exact"/>
        <w:ind w:left="34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Unit Trust or Mutual Fund.”.</w:t>
      </w:r>
    </w:p>
    <w:p>
      <w:pPr>
        <w:spacing w:before="275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Schedule to the principal enactment is hereby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by the substitution for the word “Schedule” of the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Schedule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  <w:r>
        <w:rPr>
          <w:sz w:val="20"/>
          <w:szCs w:val="20"/>
          <w:rFonts w:ascii="Arial" w:hAnsi="Arial" w:cs="Arial"/>
          <w:color w:val="000100"/>
          <w:spacing w:val="39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10" w:line="208" w:lineRule="exact"/>
        <w:ind w:left="4722"/>
      </w:pPr>
      <w:r>
        <w:rPr>
          <w:sz w:val="16"/>
          <w:szCs w:val="16"/>
          <w:rFonts w:ascii="Arial" w:hAnsi="Arial" w:cs="Arial"/>
          <w:color w:val="000100"/>
        </w:rPr>
        <w:t xml:space="preserve">“SCHEDULE I</w:t>
      </w:r>
    </w:p>
    <w:p>
      <w:pPr>
        <w:spacing w:before="316" w:line="192" w:lineRule="exact"/>
        <w:ind w:left="3575"/>
      </w:pPr>
      <w:r>
        <w:rPr>
          <w:sz w:val="16"/>
          <w:szCs w:val="16"/>
          <w:rFonts w:ascii="Arial" w:hAnsi="Arial" w:cs="Arial"/>
          <w:color w:val="000100"/>
        </w:rPr>
        <w:t xml:space="preserve">For the period ending on March 31, 2011”; and</w:t>
      </w:r>
    </w:p>
    <w:p>
      <w:pPr>
        <w:spacing w:before="270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Schedule is hereby inserted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Schedule to</w:t>
      </w:r>
    </w:p>
    <w:p>
      <w:pPr>
        <w:spacing w:before="0" w:line="10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Schedule I of the principal enactment and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7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have effect as Schedule II of that enactment:—</w:t>
      </w:r>
      <w:r>
        <w:rPr>
          <w:sz w:val="20"/>
          <w:szCs w:val="20"/>
          <w:rFonts w:ascii="Arial" w:hAnsi="Arial" w:cs="Arial"/>
          <w:color w:val="000100"/>
          <w:spacing w:val="7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4.57mm;margin-top:72.07mm;width:84.50mm;height:164.93mm;margin-left:74.57mm;margin-top:72.07mm;width:84.50mm;height:164.93mm;z-index:-1;mso-position-horizontal-relative:page;mso-position-vertical-relative:page;" coordsize="100000,100000" path="m0,0l99999,0l99999,100000l0,100000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74.49mm;margin-top:84.51mm;width:84.67mm;height:152.74mm;margin-left:74.49mm;margin-top:84.51mm;width:84.67mm;height:152.74mm;z-index:-1;mso-position-horizontal-relative:page;mso-position-vertical-relative:page;" coordsize="100000,100000" path="m0,55l100000,55m0,10670l100000,10670m0,31125l100000,31125m67399,0l67399,100000nfe" fillcolor="#000100" strokecolor="#231f20" strokeweight="0.00mm">
            <w10:wrap anchorx="page" anchory="page"/>
          </v:shape>
        </w:pict>
      </w:r>
      <w:r>
        <w:pict>
          <v:shape id="" o:spid="" style="position:absolute;margin-left:132.02mm;margin-top:117.66mm;width:5.29mm;height:13.38mm;margin-left:132.02mm;margin-top:117.66mm;width:5.29mm;height:13.38mm;z-index:-1;mso-position-horizontal-relative:page;mso-position-vertical-relative:page;" coordsize="100000,100000" path="m0,0l19200,632l28000,1582l35200,2531l40800,3797l45600,5063l48800,6962l49600,8544l49600,41772l50400,43354l53600,44936l58400,46518l64000,47784l72000,48734l80000,49367l89600,50000l100000,50000l89600,50316l80000,50632l64000,52531l58400,53797l53600,55063l50400,56962l49600,58544l49600,91772l48800,93354l45600,94936l40800,96518l35200,97784l28000,98734l19200,99367l9600,100000l0,100000nfe" fillcolor="#000000" strokecolor="#000000" strokeweight="0.00mm">
            <w10:wrap anchorx="page" anchory="page"/>
          </v:shape>
        </w:pict>
      </w:r>
      <w:r>
        <w:pict>
          <v:shape id="" o:spid="" style="position:absolute;margin-left:132.02mm;margin-top:140.86mm;width:5.29mm;height:61.72mm;margin-left:132.02mm;margin-top:140.86mm;width:5.29mm;height:61.72mm;z-index:-1;mso-position-horizontal-relative:page;mso-position-vertical-relative:page;" coordsize="100000,100000" path="m0,0l4800,68l9600,205l14400,411l19200,685l28000,1440l35200,2469l40800,3703l45600,5144l48800,6721l49600,8367l49600,41700l50400,43347l53600,44924l58400,46364l64000,47599l72000,48559l80000,49382l84800,49657l89600,49862l95200,49931l100000,49999l95200,50068l89600,50137l84800,50342l80000,50685l76000,51028l72000,51440l64000,52400l58400,53635l53600,55075l50400,56652l49600,58299l49600,91632l48800,93347l45600,94855l40800,96296l35200,97530l28000,98559l19200,99314l14400,99657l9600,99862l4800,99931l0,100000nfe" fillcolor="#000000" strokecolor="#000000" strokeweight="0.00mm">
            <w10:wrap anchorx="page" anchory="page"/>
          </v:shape>
        </w:pict>
      </w:r>
      <w:r>
        <w:pict>
          <v:shape id="" o:spid="" style="position:absolute;margin-left:74.40mm;margin-top:204.36mm;width:84.75mm;height:16.34mm;margin-left:74.40mm;margin-top:204.36mm;width:84.75mm;height:16.34mm;z-index:-1;mso-position-horizontal-relative:page;mso-position-vertical-relative:page;" coordsize="100000,100000" path="m0,0l99900,0m99,100000l100000,100000nfe" fillcolor="#0000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6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Economic Service Charge (Amendment)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11 of 2011</w:t>
      </w:r>
    </w:p>
    <w:p>
      <w:pPr>
        <w:spacing w:before="272" w:line="208" w:lineRule="exact"/>
        <w:ind w:left="6037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“SCHEDULE II</w:t>
      </w:r>
      <w:r>
        <w:rPr>
          <w:sz w:val="16"/>
          <w:szCs w:val="16"/>
          <w:rFonts w:ascii="Arial" w:hAnsi="Arial" w:cs="Arial"/>
          <w:color w:val="000100"/>
          <w:spacing w:val="9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2)</w:t>
      </w:r>
    </w:p>
    <w:p>
      <w:pPr>
        <w:spacing w:before="184" w:line="192" w:lineRule="exact"/>
        <w:ind w:left="5010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For the period commencing on April 1, 2011</w:t>
      </w:r>
    </w:p>
    <w:p>
      <w:pPr>
        <w:spacing w:before="137" w:line="239" w:lineRule="exact"/>
        <w:ind w:left="446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PART OF THE LIABLE TURNOVER</w:t>
      </w:r>
      <w:r>
        <w:rPr>
          <w:sz w:val="16"/>
          <w:szCs w:val="16"/>
          <w:rFonts w:ascii="Arial" w:hAnsi="Arial" w:cs="Arial"/>
          <w:color w:val="000100"/>
          <w:spacing w:val="3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RATE OF THE</w:t>
      </w:r>
    </w:p>
    <w:p>
      <w:pPr>
        <w:spacing w:before="15" w:line="208" w:lineRule="exact"/>
        <w:ind w:left="7503"/>
      </w:pPr>
      <w:r>
        <w:rPr>
          <w:sz w:val="16"/>
          <w:szCs w:val="16"/>
          <w:rFonts w:ascii="Arial" w:hAnsi="Arial" w:cs="Arial"/>
          <w:color w:val="000100"/>
        </w:rPr>
        <w:t xml:space="preserve">SERVICE CHARGE</w:t>
      </w:r>
    </w:p>
    <w:p>
      <w:pPr>
        <w:spacing w:before="0" w:line="192" w:lineRule="exact"/>
        <w:ind w:left="7578"/>
      </w:pPr>
      <w:r>
        <w:rPr>
          <w:sz w:val="16"/>
          <w:szCs w:val="16"/>
          <w:rFonts w:ascii="Arial" w:hAnsi="Arial" w:cs="Arial"/>
          <w:color w:val="000100"/>
        </w:rPr>
        <w:t xml:space="preserve">APPLICABLE TO</w:t>
      </w:r>
    </w:p>
    <w:p>
      <w:pPr>
        <w:spacing w:before="12" w:line="208" w:lineRule="exact"/>
        <w:ind w:left="7765"/>
      </w:pPr>
      <w:r>
        <w:rPr>
          <w:sz w:val="16"/>
          <w:szCs w:val="16"/>
          <w:rFonts w:ascii="Arial" w:hAnsi="Arial" w:cs="Arial"/>
          <w:color w:val="000100"/>
        </w:rPr>
        <w:t xml:space="preserve">THAT PART</w:t>
      </w:r>
    </w:p>
    <w:p>
      <w:pPr>
        <w:spacing w:before="73" w:line="192" w:lineRule="exact"/>
        <w:ind w:left="4268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pacing w:val="13"/>
          <w:sz w:val="16"/>
          <w:szCs w:val="16"/>
          <w:rFonts w:ascii="Arial" w:hAnsi="Arial" w:cs="Arial"/>
          <w:color w:val="000100"/>
        </w:rPr>
        <w:t xml:space="preserve">Enterprises to which the Board of</w:t>
      </w:r>
    </w:p>
    <w:p>
      <w:pPr>
        <w:spacing w:before="0" w:line="167" w:lineRule="exact"/>
        <w:ind w:left="4582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Investment of Sri Lanka Law, No. 4 of</w:t>
      </w:r>
    </w:p>
    <w:p>
      <w:pPr>
        <w:spacing w:before="0" w:line="170" w:lineRule="exact"/>
        <w:ind w:left="4582"/>
      </w:pPr>
      <w:r>
        <w:rPr>
          <w:sz w:val="16"/>
          <w:szCs w:val="16"/>
          <w:rFonts w:ascii="Arial" w:hAnsi="Arial" w:cs="Arial"/>
          <w:color w:val="000100"/>
        </w:rPr>
        <w:t xml:space="preserve">1978 is applicable (liable to pay income</w:t>
      </w:r>
    </w:p>
    <w:p>
      <w:pPr>
        <w:spacing w:before="0" w:line="170" w:lineRule="exact"/>
        <w:ind w:left="4582"/>
      </w:pPr>
      <w:r>
        <w:rPr>
          <w:sz w:val="16"/>
          <w:szCs w:val="16"/>
          <w:rFonts w:ascii="Arial" w:hAnsi="Arial" w:cs="Arial"/>
          <w:color w:val="000100"/>
        </w:rPr>
        <w:t xml:space="preserve">tax)—</w:t>
      </w:r>
    </w:p>
    <w:p>
      <w:pPr>
        <w:spacing w:before="25" w:line="228" w:lineRule="exact"/>
        <w:ind w:left="455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Apparel exporters;</w:t>
      </w:r>
    </w:p>
    <w:p>
      <w:pPr>
        <w:spacing w:before="64" w:line="192" w:lineRule="exact"/>
        <w:ind w:left="455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Board of Investment houses;</w:t>
      </w:r>
    </w:p>
    <w:p>
      <w:pPr>
        <w:spacing w:before="0" w:line="163" w:lineRule="exact"/>
        <w:ind w:left="7878"/>
      </w:pPr>
      <w:r>
        <w:rPr>
          <w:sz w:val="16"/>
          <w:szCs w:val="16"/>
          <w:rFonts w:ascii="Arial" w:hAnsi="Arial" w:cs="Arial"/>
          <w:color w:val="000100"/>
        </w:rPr>
        <w:t xml:space="preserve">0.1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0" w:line="91" w:lineRule="exact"/>
        <w:ind w:left="4568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pacing w:val="16"/>
          <w:sz w:val="16"/>
          <w:szCs w:val="16"/>
          <w:rFonts w:ascii="Arial" w:hAnsi="Arial" w:cs="Arial"/>
          <w:color w:val="000100"/>
        </w:rPr>
        <w:t xml:space="preserve">Manufacturers of textiles for</w:t>
      </w:r>
    </w:p>
    <w:p>
      <w:pPr>
        <w:spacing w:before="0" w:line="177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apparel exporters.</w:t>
      </w:r>
    </w:p>
    <w:p>
      <w:pPr>
        <w:spacing w:before="102" w:line="192" w:lineRule="exact"/>
        <w:ind w:left="4268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Persons</w:t>
      </w:r>
      <w:r>
        <w:rPr>
          <w:sz w:val="16"/>
          <w:szCs w:val="16"/>
          <w:rFonts w:ascii="Arial" w:hAnsi="Arial" w:cs="Arial"/>
          <w:color w:val="000100"/>
          <w:spacing w:val="3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granted</w:t>
      </w:r>
      <w:r>
        <w:rPr>
          <w:sz w:val="16"/>
          <w:szCs w:val="16"/>
          <w:rFonts w:ascii="Arial" w:hAnsi="Arial" w:cs="Arial"/>
          <w:color w:val="000100"/>
          <w:spacing w:val="3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Exemptions/</w:t>
      </w:r>
    </w:p>
    <w:p>
      <w:pPr>
        <w:spacing w:before="0" w:line="175" w:lineRule="exact"/>
        <w:ind w:left="4582"/>
      </w:pPr>
      <w:r>
        <w:rPr>
          <w:sz w:val="16"/>
          <w:szCs w:val="16"/>
          <w:rFonts w:ascii="Arial" w:hAnsi="Arial" w:cs="Arial"/>
          <w:color w:val="000100"/>
        </w:rPr>
        <w:t xml:space="preserve">Concessionary Rates/Others</w:t>
      </w:r>
    </w:p>
    <w:p>
      <w:pPr>
        <w:spacing w:before="1" w:line="255" w:lineRule="exact"/>
        <w:ind w:left="455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who are exempt from income tax</w:t>
      </w:r>
    </w:p>
    <w:p>
      <w:pPr>
        <w:spacing w:before="0" w:line="175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(including tax holiday companies);</w:t>
      </w:r>
    </w:p>
    <w:p>
      <w:pPr>
        <w:spacing w:before="64" w:line="192" w:lineRule="exact"/>
        <w:ind w:left="455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pacing w:val="10"/>
          <w:sz w:val="16"/>
          <w:szCs w:val="16"/>
          <w:rFonts w:ascii="Arial" w:hAnsi="Arial" w:cs="Arial"/>
          <w:color w:val="000100"/>
        </w:rPr>
        <w:t xml:space="preserve">who during certain periods are</w:t>
      </w:r>
    </w:p>
    <w:p>
      <w:pPr>
        <w:spacing w:before="0" w:line="175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incurring losses;</w:t>
      </w:r>
    </w:p>
    <w:p>
      <w:pPr>
        <w:spacing w:before="64" w:line="192" w:lineRule="exact"/>
        <w:ind w:left="4568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pacing w:val="15"/>
          <w:sz w:val="16"/>
          <w:szCs w:val="16"/>
          <w:rFonts w:ascii="Arial" w:hAnsi="Arial" w:cs="Arial"/>
          <w:color w:val="000100"/>
        </w:rPr>
        <w:t xml:space="preserve">who are subject to tax under</w:t>
      </w:r>
    </w:p>
    <w:p>
      <w:pPr>
        <w:spacing w:before="0" w:line="175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concessionary rates;</w:t>
      </w:r>
    </w:p>
    <w:p>
      <w:pPr>
        <w:spacing w:before="73" w:line="192" w:lineRule="exact"/>
        <w:ind w:left="455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who are engaged in wholesale or</w:t>
      </w:r>
    </w:p>
    <w:p>
      <w:pPr>
        <w:spacing w:before="0" w:line="192" w:lineRule="exact"/>
        <w:ind w:left="4943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retail trade other than products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manufactured or produced by the</w:t>
      </w:r>
      <w:r>
        <w:rPr>
          <w:sz w:val="16"/>
          <w:szCs w:val="16"/>
          <w:rFonts w:ascii="Arial" w:hAnsi="Arial" w:cs="Arial"/>
          <w:color w:val="000100"/>
          <w:spacing w:val="3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0.25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0" w:line="192" w:lineRule="exact"/>
        <w:ind w:left="4943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seller (excepting distributors or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dealers in motor vehicles or liquor);</w:t>
      </w:r>
    </w:p>
    <w:p>
      <w:pPr>
        <w:spacing w:before="71" w:line="192" w:lineRule="exact"/>
        <w:ind w:left="4568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e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who carry out primary conversion</w:t>
      </w:r>
    </w:p>
    <w:p>
      <w:pPr>
        <w:spacing w:before="0" w:line="179" w:lineRule="exact"/>
        <w:ind w:left="4943"/>
      </w:pPr>
      <w:r>
        <w:rPr>
          <w:spacing w:val="14"/>
          <w:sz w:val="16"/>
          <w:szCs w:val="16"/>
          <w:rFonts w:ascii="Arial" w:hAnsi="Arial" w:cs="Arial"/>
          <w:color w:val="000100"/>
        </w:rPr>
        <w:t xml:space="preserve">of any tea, rubber or coconut</w:t>
      </w:r>
    </w:p>
    <w:p>
      <w:pPr>
        <w:spacing w:before="0" w:line="180" w:lineRule="exact"/>
        <w:ind w:left="4943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plantation including desiccated</w:t>
      </w:r>
    </w:p>
    <w:p>
      <w:pPr>
        <w:spacing w:before="0" w:line="179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coconut, coconut oil or fiber, copra</w:t>
      </w:r>
    </w:p>
    <w:p>
      <w:pPr>
        <w:spacing w:before="0" w:line="180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and sheet rubber, but excluding any</w:t>
      </w:r>
    </w:p>
    <w:p>
      <w:pPr>
        <w:spacing w:before="0" w:line="180" w:lineRule="exact"/>
        <w:ind w:left="49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conversion which produces any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alcoholic beverage.</w:t>
      </w:r>
    </w:p>
    <w:p>
      <w:pPr>
        <w:spacing w:before="119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3.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Advertising Agents—</w:t>
      </w:r>
    </w:p>
    <w:p>
      <w:pPr>
        <w:spacing w:before="56" w:line="214" w:lineRule="exact"/>
        <w:ind w:left="455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prior to April 1, 2011</w:t>
      </w:r>
      <w:r>
        <w:rPr>
          <w:sz w:val="16"/>
          <w:szCs w:val="16"/>
          <w:rFonts w:ascii="Arial" w:hAnsi="Arial" w:cs="Arial"/>
          <w:color w:val="000100"/>
          <w:spacing w:val="11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1.0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47" w:line="223" w:lineRule="exact"/>
        <w:ind w:left="455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on or after April 1, 2011</w:t>
      </w:r>
      <w:r>
        <w:rPr>
          <w:sz w:val="16"/>
          <w:szCs w:val="16"/>
          <w:rFonts w:ascii="Arial" w:hAnsi="Arial" w:cs="Arial"/>
          <w:color w:val="000100"/>
          <w:spacing w:val="9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0.25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111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4.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any other businesses including of</w:t>
      </w:r>
    </w:p>
    <w:p>
      <w:pPr>
        <w:spacing w:before="0" w:line="180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which the turnover is defined by</w:t>
      </w:r>
    </w:p>
    <w:p>
      <w:pPr>
        <w:spacing w:before="0" w:line="179" w:lineRule="exact"/>
        <w:ind w:left="49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Notice published in the</w:t>
      </w:r>
      <w:r>
        <w:rPr>
          <w:sz w:val="16"/>
          <w:szCs w:val="16"/>
          <w:rFonts w:ascii="Arial" w:hAnsi="Arial" w:cs="Arial"/>
          <w:color w:val="000100"/>
          <w:spacing w:val="2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Gazette</w:t>
      </w:r>
      <w:r>
        <w:rPr>
          <w:sz w:val="16"/>
          <w:szCs w:val="16"/>
          <w:rFonts w:ascii="Arial" w:hAnsi="Arial" w:cs="Arial"/>
          <w:color w:val="000100"/>
        </w:rPr>
        <w:t xml:space="preserve">.</w:t>
      </w:r>
      <w:r>
        <w:rPr>
          <w:sz w:val="16"/>
          <w:szCs w:val="16"/>
          <w:rFonts w:ascii="Arial" w:hAnsi="Arial" w:cs="Arial"/>
          <w:color w:val="000100"/>
          <w:spacing w:val="2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1.0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0" w:line="180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(including dealers in motor vehicles,</w:t>
      </w:r>
    </w:p>
    <w:p>
      <w:pPr>
        <w:spacing w:before="0" w:line="179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liquor, tobacco and petroleum)”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Economic Service Charge (Amendment)</w:t>
      </w:r>
      <w:r>
        <w:rPr>
          <w:sz w:val="20"/>
          <w:szCs w:val="20"/>
          <w:rFonts w:ascii="Arial" w:hAnsi="Arial" w:cs="Arial"/>
          <w:color w:val="231f20"/>
          <w:spacing w:val="5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11 of 2011</w:t>
      </w:r>
    </w:p>
    <w:p>
      <w:pPr>
        <w:spacing w:before="218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person or partnership carrying on an enterprise,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Exemption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having an annual turnover of a sum not exceeding rupees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certain small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medium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one hundred million who is liable to pay the economic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enterprises from</w:t>
      </w:r>
    </w:p>
    <w:p>
      <w:pPr>
        <w:spacing w:before="0" w:line="15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service charge under this Act, who has defaulted in the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payment of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payment of such economic service charge as is payable by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taxes payable by</w:t>
      </w:r>
    </w:p>
    <w:p>
      <w:pPr>
        <w:spacing w:before="0" w:line="19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him under this Act in respect of any year of assessment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them.</w:t>
      </w:r>
    </w:p>
    <w:p>
      <w:pPr>
        <w:spacing w:before="24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ending on or before December 31, 2010, due to the existence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generally of any conflict environment or due to any financial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constraints of such person or partnership, shall be exempt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from the payment of such charge as is in default under this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Act :</w:t>
      </w:r>
    </w:p>
    <w:p>
      <w:pPr>
        <w:spacing w:before="21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Provided that, the Commissioner-General of Inland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Revenue shall on a request made in that behalf, issue to such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person or partnership a Certificate of Exemption in respect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sum in default :</w:t>
      </w:r>
    </w:p>
    <w:p>
      <w:pPr>
        <w:spacing w:before="21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Provided further, the person or partnership to whom the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Certificate of Exemption is issued, shall simultaneously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forward to the Commissioner-General of Inland Revenue a</w:t>
      </w:r>
    </w:p>
    <w:p>
      <w:pPr>
        <w:spacing w:before="0" w:line="2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written assurance to the effect that such person or partnership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will be responsible for the payment of all sums which may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become payable by him under this Act, in respect of any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future year of assessment commencing on or after January 1,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2011.</w:t>
      </w:r>
    </w:p>
    <w:p>
      <w:pPr>
        <w:spacing w:before="249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3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an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9.28mm;width:110.07mm;height:12.70mm;margin-left:49.09mm;margin-top:59.28mm;width:110.0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66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Economic Service Charge (Amendment)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11 of 2011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66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