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10mm;width:21.89mm;height:66.51mm;margin-left:95.20mm;margin-top:127.10mm;width:21.89mm;height:66.51mm;z-index:-1;mso-position-horizontal-relative:page;mso-position-vertical-relative:page;" coordsize="100000,100000" path="m0,0l100000,0m0,50159l100000,50159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966" w:line="364" w:lineRule="exact"/>
        <w:ind w:left="3777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EXCISE (SPECIAL PROVISIONS)</w:t>
      </w:r>
    </w:p>
    <w:p>
      <w:pPr>
        <w:spacing w:before="0" w:line="336" w:lineRule="exact"/>
        <w:ind w:left="3544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(AMENDMENT) ACT, No. 17 OF 2011</w:t>
      </w:r>
    </w:p>
    <w:p>
      <w:pPr>
        <w:spacing w:before="1082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05mm;margin-top:58.83mm;width:4.23mm;height:6.00mm;margin-left:133.05mm;margin-top:58.83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18" w:line="24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Excise (Special Provisions) (Amendment)</w:t>
      </w:r>
      <w:r>
        <w:rPr>
          <w:sz w:val="20"/>
          <w:szCs w:val="20"/>
          <w:rFonts w:ascii="Arial" w:hAnsi="Arial" w:cs="Arial"/>
          <w:color w:val="231f20"/>
          <w:spacing w:val="56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17 of 2011</w:t>
      </w:r>
    </w:p>
    <w:p>
      <w:pPr>
        <w:spacing w:before="250" w:line="241" w:lineRule="exact"/>
        <w:ind w:left="399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251" w:line="241" w:lineRule="exact"/>
        <w:ind w:left="2886"/>
      </w:pPr>
      <w:r>
        <w:rPr>
          <w:sz w:val="20"/>
          <w:szCs w:val="20"/>
          <w:rFonts w:ascii="Arial" w:hAnsi="Arial" w:cs="Arial"/>
          <w:color w:val="231f20"/>
        </w:rPr>
        <w:t xml:space="preserve">L. D.— O. 4/2011.</w:t>
      </w:r>
    </w:p>
    <w:p>
      <w:pPr>
        <w:spacing w:before="231" w:line="241" w:lineRule="exact"/>
        <w:ind w:left="345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XCISE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(S</w:t>
      </w:r>
      <w:r>
        <w:rPr>
          <w:sz w:val="14"/>
          <w:szCs w:val="14"/>
          <w:rFonts w:ascii="Arial" w:hAnsi="Arial" w:cs="Arial"/>
          <w:color w:val="231f20"/>
        </w:rPr>
        <w:t xml:space="preserve">PECIAL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5" w:lineRule="exact"/>
        <w:ind w:left="4485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13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1989</w:t>
      </w:r>
    </w:p>
    <w:p>
      <w:pPr>
        <w:spacing w:before="226" w:line="241" w:lineRule="exact"/>
        <w:ind w:left="288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2" w:lineRule="exact"/>
        <w:ind w:left="288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59" w:line="197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1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  <w:r>
        <w:rPr>
          <w:sz w:val="20"/>
          <w:szCs w:val="20"/>
          <w:rFonts w:ascii="Arial" w:hAnsi="Arial" w:cs="Arial"/>
          <w:color w:val="000100"/>
          <w:spacing w:val="14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 This Act may be cited as the Excise (Special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</w:t>
      </w:r>
    </w:p>
    <w:p>
      <w:pPr>
        <w:spacing w:before="0" w:line="191" w:lineRule="exact"/>
        <w:ind w:left="288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Provisions) (Amendment) Act, No. 17 of 2011.</w:t>
      </w:r>
      <w:r>
        <w:rPr>
          <w:sz w:val="20"/>
          <w:szCs w:val="20"/>
          <w:rFonts w:ascii="Arial" w:hAnsi="Arial" w:cs="Arial"/>
          <w:color w:val="000100"/>
          <w:spacing w:val="12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and date</w:t>
      </w:r>
    </w:p>
    <w:p>
      <w:pPr>
        <w:spacing w:before="0" w:line="191" w:lineRule="exact"/>
        <w:ind w:left="7926"/>
      </w:pPr>
      <w:r>
        <w:rPr>
          <w:sz w:val="16"/>
          <w:szCs w:val="16"/>
          <w:rFonts w:ascii="Arial" w:hAnsi="Arial" w:cs="Arial"/>
          <w:color w:val="000100"/>
        </w:rPr>
        <w:t xml:space="preserve">of operation.</w:t>
      </w:r>
    </w:p>
    <w:p>
      <w:pPr>
        <w:spacing w:before="111" w:line="241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(2) The provisions of this Act shall for all purposes be</w:t>
      </w:r>
    </w:p>
    <w:p>
      <w:pPr>
        <w:spacing w:before="0" w:line="240" w:lineRule="exact"/>
        <w:ind w:left="288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deemed to have come into operation on November 19, 2010.</w:t>
      </w:r>
    </w:p>
    <w:p>
      <w:pPr>
        <w:spacing w:before="256" w:line="202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Section 5 of the Excise (Special Provisions Act, No. 13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86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1989 is hereby amended in sub-paragraph (iii) of paragraph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5 of Act.</w:t>
      </w:r>
    </w:p>
    <w:p>
      <w:pPr>
        <w:spacing w:before="0" w:line="192" w:lineRule="exact"/>
        <w:ind w:left="7931"/>
      </w:pPr>
      <w:r>
        <w:rPr>
          <w:sz w:val="16"/>
          <w:szCs w:val="16"/>
          <w:rFonts w:ascii="Arial" w:hAnsi="Arial" w:cs="Arial"/>
          <w:color w:val="231f20"/>
        </w:rPr>
        <w:t xml:space="preserve">No. 13 of 1989.</w:t>
      </w:r>
    </w:p>
    <w:p>
      <w:pPr>
        <w:spacing w:before="0" w:line="116" w:lineRule="exact"/>
        <w:ind w:left="2886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) of subsection (2) of that section, by the substitution for</w:t>
      </w:r>
    </w:p>
    <w:p>
      <w:pPr>
        <w:spacing w:before="0" w:line="240" w:lineRule="exact"/>
        <w:ind w:left="288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words "an amount equal to the total of customs duty,</w:t>
      </w:r>
    </w:p>
    <w:p>
      <w:pPr>
        <w:spacing w:before="0" w:line="239" w:lineRule="exact"/>
        <w:ind w:left="288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surcharge, cesses, ports and airport development levy and</w:t>
      </w:r>
    </w:p>
    <w:p>
      <w:pPr>
        <w:spacing w:before="0" w:line="239" w:lineRule="exact"/>
        <w:ind w:left="288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value added tax" of the words, "an amount equal to the total</w:t>
      </w:r>
    </w:p>
    <w:p>
      <w:pPr>
        <w:spacing w:before="0" w:line="240" w:lineRule="exact"/>
        <w:ind w:left="288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customs duty , cesses and ports and airport development</w:t>
      </w:r>
    </w:p>
    <w:p>
      <w:pPr>
        <w:spacing w:before="0" w:line="239" w:lineRule="exact"/>
        <w:ind w:left="2886"/>
      </w:pPr>
      <w:r>
        <w:rPr>
          <w:sz w:val="20"/>
          <w:szCs w:val="20"/>
          <w:rFonts w:ascii="Arial" w:hAnsi="Arial" w:cs="Arial"/>
          <w:color w:val="000100"/>
        </w:rPr>
        <w:t xml:space="preserve">levy".</w:t>
      </w:r>
    </w:p>
    <w:p>
      <w:pPr>
        <w:spacing w:before="231" w:line="260" w:lineRule="exact"/>
        <w:ind w:left="3085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the case of an inconsistency between the Sinhala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68" w:lineRule="exact"/>
        <w:ind w:left="288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5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</w:t>
      </w:r>
    </w:p>
    <w:p>
      <w:pPr>
        <w:spacing w:before="0" w:line="191" w:lineRule="exact"/>
        <w:ind w:left="7931"/>
      </w:pPr>
      <w:r>
        <w:rPr>
          <w:sz w:val="16"/>
          <w:szCs w:val="16"/>
          <w:rFonts w:ascii="Arial" w:hAnsi="Arial" w:cs="Arial"/>
          <w:color w:val="000100"/>
        </w:rPr>
        <w:t xml:space="preserve">in case of</w:t>
      </w:r>
    </w:p>
    <w:p>
      <w:pPr>
        <w:spacing w:before="0" w:line="192" w:lineRule="exact"/>
        <w:ind w:left="7931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pacing w:before="3042" w:line="192" w:lineRule="exact"/>
        <w:ind w:left="2836"/>
      </w:pPr>
      <w:r>
        <w:rPr>
          <w:sz w:val="16"/>
          <w:szCs w:val="16"/>
          <w:rFonts w:ascii="Arial" w:hAnsi="Arial" w:cs="Arial"/>
          <w:color w:val="231f20"/>
        </w:rPr>
        <w:t xml:space="preserve">2—PL 005593—4,090 (03/2011)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26mm;margin-top:222.43mm;width:110.07mm;height:0.00mm;margin-left:49.26mm;margin-top:222.4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8.91mm;margin-top:59.28mm;width:97.90mm;height:13.05mm;margin-left:48.91mm;margin-top:59.28mm;width:97.90mm;height:13.05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3" w:line="242" w:lineRule="exact"/>
        <w:ind w:left="4239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0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Excise (Special Provisions) (Amendment)</w:t>
      </w:r>
    </w:p>
    <w:p>
      <w:pPr>
        <w:spacing w:before="0" w:line="240" w:lineRule="exact"/>
        <w:ind w:left="584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17 of 2011</w:t>
      </w:r>
    </w:p>
    <w:p>
      <w:pPr>
        <w:spacing w:before="8822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92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6" w:lineRule="exact"/>
        <w:ind w:left="4076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