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20" w:line="364" w:lineRule="exact"/>
        <w:ind w:left="3011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CONTROL OF PESTICIDES (AMENDMENT)</w:t>
      </w:r>
    </w:p>
    <w:p>
      <w:pPr>
        <w:spacing w:before="0" w:line="336" w:lineRule="exact"/>
        <w:ind w:left="4595"/>
      </w:pPr>
      <w:r>
        <w:rPr>
          <w:sz w:val="28"/>
          <w:szCs w:val="28"/>
          <w:rFonts w:ascii="Arial" w:hAnsi="Arial" w:cs="Arial"/>
          <w:color w:val="231f20"/>
        </w:rPr>
        <w:t xml:space="preserve">ACT, NO. 31 OF 2011</w:t>
      </w:r>
    </w:p>
    <w:p>
      <w:pPr>
        <w:spacing w:before="962" w:line="260" w:lineRule="exact"/>
        <w:ind w:left="4729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June,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97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June 24,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52mm;width:4.23mm;height:6.00mm;margin-left:132.77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7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of Pesticides (Amendment)</w:t>
      </w:r>
      <w:r>
        <w:rPr>
          <w:sz w:val="20"/>
          <w:szCs w:val="20"/>
          <w:rFonts w:ascii="Arial" w:hAnsi="Arial" w:cs="Arial"/>
          <w:color w:val="231f20"/>
          <w:spacing w:val="8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31 of 2011</w:t>
      </w:r>
    </w:p>
    <w:p>
      <w:pPr>
        <w:spacing w:before="241" w:line="241" w:lineRule="exact"/>
        <w:ind w:left="404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23rd June,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 D.—O. 26/2008.</w:t>
      </w:r>
    </w:p>
    <w:p>
      <w:pPr>
        <w:spacing w:before="239" w:line="241" w:lineRule="exact"/>
        <w:ind w:left="363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ONTROL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14"/>
          <w:szCs w:val="14"/>
          <w:rFonts w:ascii="Arial" w:hAnsi="Arial" w:cs="Arial"/>
          <w:color w:val="231f20"/>
        </w:rPr>
        <w:t xml:space="preserve">ESTICIDES</w:t>
      </w:r>
    </w:p>
    <w:p>
      <w:pPr>
        <w:spacing w:before="0" w:line="240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33</w:t>
      </w:r>
      <w:r>
        <w:rPr>
          <w:sz w:val="20"/>
          <w:szCs w:val="20"/>
          <w:rFonts w:ascii="Arial" w:hAnsi="Arial" w:cs="Arial"/>
          <w:color w:val="231f2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1980</w:t>
      </w:r>
    </w:p>
    <w:p>
      <w:pPr>
        <w:spacing w:before="23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66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Control of Pesticides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5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3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31 of 2011.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24 of the Control of Pesticides Act, No. 33 of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1980 as amended by Act, No. 6 of 1994 is hereby further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24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</w:t>
      </w:r>
    </w:p>
    <w:p>
      <w:pPr>
        <w:spacing w:before="0" w:line="1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amended as follows:—</w:t>
      </w:r>
      <w:r>
        <w:rPr>
          <w:sz w:val="20"/>
          <w:szCs w:val="20"/>
          <w:rFonts w:ascii="Arial" w:hAnsi="Arial" w:cs="Arial"/>
          <w:color w:val="000100"/>
          <w:spacing w:val="31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No. 33 of 1980.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(1) of that section, by the substitution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for the words “fine not exceeding ten thousand</w:t>
      </w:r>
    </w:p>
    <w:p>
      <w:pPr>
        <w:spacing w:before="0" w:line="239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rupees” of the words “fine not less than fifty</w:t>
      </w:r>
    </w:p>
    <w:p>
      <w:pPr>
        <w:spacing w:before="0" w:line="24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thousand rupees and not exceeding one hundred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thousand rupees”; and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subsection (2) of that section, by the substitution</w:t>
      </w:r>
    </w:p>
    <w:p>
      <w:pPr>
        <w:spacing w:before="0" w:line="239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for the words “shall be deemed to be guilty of that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offence” of the words “shall be deemed to be guilty</w:t>
      </w:r>
    </w:p>
    <w:p>
      <w:pPr>
        <w:spacing w:before="0" w:line="239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that offence and shall be liable to a fine not less</w:t>
      </w:r>
    </w:p>
    <w:p>
      <w:pPr>
        <w:spacing w:before="0" w:line="239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than one hundred thousand rupees and not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exceeding five hundred thousand rupees.”.</w:t>
      </w:r>
    </w:p>
    <w:p>
      <w:pPr>
        <w:spacing w:before="224" w:line="26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7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1727" w:line="240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006013—</w:t>
      </w:r>
      <w:r>
        <w:rPr>
          <w:sz w:val="16"/>
          <w:szCs w:val="16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4,015 (04/2011)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39mm;margin-top:222.01mm;width:110.07mm;height:0.00mm;margin-left:49.39mm;margin-top:222.0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3.20mm;margin-top:50.64mm;width:87.49mm;height:21.34mm;margin-left:63.20mm;margin-top:50.64mm;width:87.49mm;height:21.34mm;z-index:-1;mso-position-horizontal-relative:page;mso-position-vertical-relative:page;" coordsize="100000,100000" path="m0,0l100000,0l100000,99999l0,99999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82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of Pesticides (Amendment)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31 of 2011</w:t>
      </w:r>
    </w:p>
    <w:p>
      <w:pPr>
        <w:spacing w:before="8841" w:line="192" w:lineRule="exact"/>
        <w:ind w:left="2799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99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99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pacing w:val="-9"/>
          <w:sz w:val="16"/>
          <w:szCs w:val="16"/>
          <w:rFonts w:ascii="Arial" w:hAnsi="Arial" w:cs="Arial"/>
          <w:color w:val="231f20"/>
        </w:rPr>
        <w:t xml:space="preserve">05  before  15th</w:t>
      </w:r>
    </w:p>
    <w:p>
      <w:pPr>
        <w:spacing w:before="0" w:line="192" w:lineRule="exact"/>
        <w:ind w:left="4081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