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9056l100000,49056m0,100000l100000,100000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5"/>
          <w:sz w:val="32"/>
          <w:szCs w:val="32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z w:val="32"/>
          <w:szCs w:val="32"/>
          <w:rFonts w:ascii="Arial" w:hAnsi="Arial" w:cs="Arial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Arial" w:hAnsi="Arial" w:cs="Arial"/>
          <w:color w:val="231f20"/>
        </w:rPr>
        <w:t xml:space="preserve">SRI LANKA</w:t>
      </w:r>
    </w:p>
    <w:p>
      <w:pPr>
        <w:spacing w:before="1105" w:line="364" w:lineRule="exact"/>
        <w:ind w:left="3815"/>
      </w:pPr>
      <w:r>
        <w:rPr>
          <w:spacing w:val="10"/>
          <w:sz w:val="28"/>
          <w:szCs w:val="28"/>
          <w:rFonts w:ascii="Arial" w:hAnsi="Arial" w:cs="Arial"/>
          <w:color w:val="231f20"/>
        </w:rPr>
        <w:t xml:space="preserve">ECONOMIC SERVICE CHARGE</w:t>
      </w:r>
    </w:p>
    <w:p>
      <w:pPr>
        <w:spacing w:before="0" w:line="335" w:lineRule="exact"/>
        <w:ind w:left="3544"/>
      </w:pPr>
      <w:r>
        <w:rPr>
          <w:spacing w:val="5"/>
          <w:sz w:val="28"/>
          <w:szCs w:val="28"/>
          <w:rFonts w:ascii="Arial" w:hAnsi="Arial" w:cs="Arial"/>
          <w:color w:val="231f20"/>
        </w:rPr>
        <w:t xml:space="preserve">(AMENDMENT) ACT, No. 11 OF 2012</w:t>
      </w:r>
    </w:p>
    <w:p>
      <w:pPr>
        <w:spacing w:before="943" w:line="260" w:lineRule="exact"/>
        <w:ind w:left="4662"/>
      </w:pPr>
      <w:r>
        <w:rPr>
          <w:sz w:val="20"/>
          <w:szCs w:val="20"/>
          <w:rFonts w:ascii="Arial" w:hAnsi="Arial" w:cs="Arial"/>
          <w:color w:val="231f20"/>
        </w:rPr>
        <w:t xml:space="preserve">[Certified on 30th March, 2012]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921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March 30, 2012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5.00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94mm;margin-top:57.87mm;width:6.00mm;height:5.64mm;margin-left:132.94mm;margin-top:57.87mm;width:6.00mm;height:5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664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Economic Service Charge (Amendment)</w:t>
      </w:r>
      <w:r>
        <w:rPr>
          <w:sz w:val="20"/>
          <w:szCs w:val="20"/>
          <w:rFonts w:ascii="Arial" w:hAnsi="Arial" w:cs="Arial"/>
          <w:color w:val="231f20"/>
          <w:spacing w:val="63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45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 No. 11 of 2012</w:t>
      </w:r>
    </w:p>
    <w:p>
      <w:pPr>
        <w:spacing w:before="241" w:line="241" w:lineRule="exact"/>
        <w:ind w:left="3964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[Certified on 30th March, 2012]</w:t>
      </w:r>
    </w:p>
    <w:p>
      <w:pPr>
        <w:spacing w:before="239" w:line="241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L.D.—O. 6/2012</w:t>
      </w:r>
    </w:p>
    <w:p>
      <w:pPr>
        <w:spacing w:before="239" w:line="241" w:lineRule="exact"/>
        <w:ind w:left="3476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AMEND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14"/>
          <w:szCs w:val="14"/>
          <w:rFonts w:ascii="Arial" w:hAnsi="Arial" w:cs="Arial"/>
          <w:color w:val="000100"/>
        </w:rPr>
        <w:t xml:space="preserve">CONOMIC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14"/>
          <w:szCs w:val="14"/>
          <w:rFonts w:ascii="Arial" w:hAnsi="Arial" w:cs="Arial"/>
          <w:color w:val="000100"/>
        </w:rPr>
        <w:t xml:space="preserve">ERVICE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</w:rPr>
        <w:t xml:space="preserve">HARGE</w:t>
      </w:r>
    </w:p>
    <w:p>
      <w:pPr>
        <w:spacing w:before="0" w:line="240" w:lineRule="exact"/>
        <w:ind w:left="4482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20"/>
          <w:szCs w:val="20"/>
          <w:rFonts w:ascii="Arial" w:hAnsi="Arial" w:cs="Arial"/>
          <w:color w:val="000100"/>
        </w:rPr>
        <w:t xml:space="preserve">, N</w:t>
      </w:r>
      <w:r>
        <w:rPr>
          <w:sz w:val="14"/>
          <w:szCs w:val="14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. 13</w:t>
      </w:r>
      <w:r>
        <w:rPr>
          <w:sz w:val="20"/>
          <w:szCs w:val="20"/>
          <w:rFonts w:ascii="Arial" w:hAnsi="Arial" w:cs="Arial"/>
          <w:color w:val="000100"/>
          <w:spacing w:val="-1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2006</w:t>
      </w:r>
    </w:p>
    <w:p>
      <w:pPr>
        <w:spacing w:before="239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enacted by the Parliament of the Democratic Socialist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Republic of Sri Lanka as follows:-</w:t>
      </w:r>
    </w:p>
    <w:p>
      <w:pPr>
        <w:spacing w:before="227" w:line="26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This Act may be cited as the Economic Service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0" w:line="227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Charge (Amendment) Act, No. 11 of 2012.</w:t>
      </w:r>
    </w:p>
    <w:p>
      <w:pPr>
        <w:spacing w:before="256" w:line="202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2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2 of the Economic Service Charge Act,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No. 13 of 2006 (hereinafter referred to as the “principal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2 of Act,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No. 13 of 2006.</w:t>
      </w:r>
    </w:p>
    <w:p>
      <w:pPr>
        <w:spacing w:before="0" w:line="116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enactment”) is hereby amended as follows:-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(1) of that section, by the substitution</w:t>
      </w:r>
    </w:p>
    <w:p>
      <w:pPr>
        <w:spacing w:before="0" w:line="239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for the words and figures “Schedule I or Schedule II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as the case may be” of the words and figures</w:t>
      </w:r>
    </w:p>
    <w:p>
      <w:pPr>
        <w:spacing w:before="0" w:line="24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“Schedule I, Schedule II or Schedule III as the case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may be”;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 subsection (2) of that section, by the repeal of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paragraph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) thereof, and the substitution therefor</w:t>
      </w:r>
    </w:p>
    <w:p>
      <w:pPr>
        <w:spacing w:before="0" w:line="239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following new paragraphs -</w:t>
      </w:r>
    </w:p>
    <w:p>
      <w:pPr>
        <w:spacing w:before="238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commencing on or after April 1, 2011, but</w:t>
      </w:r>
    </w:p>
    <w:p>
      <w:pPr>
        <w:spacing w:before="0" w:line="240" w:lineRule="exact"/>
        <w:ind w:left="40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before April 1, 2012,  does not exceed rupees</w:t>
      </w:r>
    </w:p>
    <w:p>
      <w:pPr>
        <w:spacing w:before="0" w:line="240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twenty-five million;</w:t>
      </w:r>
    </w:p>
    <w:p>
      <w:pPr>
        <w:spacing w:before="239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commencing on or after April 1, 2012, does</w:t>
      </w:r>
    </w:p>
    <w:p>
      <w:pPr>
        <w:spacing w:before="0" w:line="239" w:lineRule="exact"/>
        <w:ind w:left="40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not exceed rupees fifty million.”; and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subsection (3) of that section-</w:t>
      </w:r>
    </w:p>
    <w:p>
      <w:pPr>
        <w:spacing w:before="238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by the substitution for the</w:t>
      </w:r>
    </w:p>
    <w:p>
      <w:pPr>
        <w:spacing w:before="0" w:line="240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words “whether directly or through an agent</w:t>
      </w:r>
    </w:p>
    <w:p>
      <w:pPr>
        <w:spacing w:before="0" w:line="239" w:lineRule="exact"/>
        <w:ind w:left="40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or more than one agent:” of the following:-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631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Economic Service Charge (Amendment)</w:t>
      </w:r>
    </w:p>
    <w:p>
      <w:pPr>
        <w:spacing w:before="0" w:line="240" w:lineRule="exact"/>
        <w:ind w:left="58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 No. 11 of 2012</w:t>
      </w:r>
    </w:p>
    <w:p>
      <w:pPr>
        <w:spacing w:before="241" w:line="241" w:lineRule="exact"/>
        <w:ind w:left="54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“whether directly or through an agent or more</w:t>
      </w:r>
    </w:p>
    <w:p>
      <w:pPr>
        <w:spacing w:before="0" w:line="240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than one agent:</w:t>
      </w:r>
    </w:p>
    <w:p>
      <w:pPr>
        <w:spacing w:before="239" w:line="241" w:lineRule="exact"/>
        <w:ind w:left="562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Provided that, in relation to any relevant</w:t>
      </w:r>
    </w:p>
    <w:p>
      <w:pPr>
        <w:spacing w:before="0" w:line="240" w:lineRule="exact"/>
        <w:ind w:left="54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quarter commencing on or after April 1, 2012,</w:t>
      </w:r>
    </w:p>
    <w:p>
      <w:pPr>
        <w:spacing w:before="0" w:line="240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where such part of the taxable income as</w:t>
      </w:r>
    </w:p>
    <w:p>
      <w:pPr>
        <w:spacing w:before="0" w:line="239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consists of profits from any trade, business,</w:t>
      </w:r>
    </w:p>
    <w:p>
      <w:pPr>
        <w:spacing w:before="0" w:line="240" w:lineRule="exact"/>
        <w:ind w:left="54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profession or vocation assessed under the</w:t>
      </w:r>
    </w:p>
    <w:p>
      <w:pPr>
        <w:spacing w:before="0" w:line="239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provisions of Inland Revenue Act, No. 10 of</w:t>
      </w:r>
    </w:p>
    <w:p>
      <w:pPr>
        <w:spacing w:before="0" w:line="239" w:lineRule="exact"/>
        <w:ind w:left="54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2006 for the year of assessment which ended</w:t>
      </w:r>
    </w:p>
    <w:p>
      <w:pPr>
        <w:spacing w:before="0" w:line="240" w:lineRule="exact"/>
        <w:ind w:left="54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immediately prior to the commencement of</w:t>
      </w:r>
    </w:p>
    <w:p>
      <w:pPr>
        <w:spacing w:before="0" w:line="240" w:lineRule="exact"/>
        <w:ind w:left="54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year of assessment to which such quarter</w:t>
      </w:r>
    </w:p>
    <w:p>
      <w:pPr>
        <w:spacing w:before="0" w:line="239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belongs, is more than zero, the relevant</w:t>
      </w:r>
    </w:p>
    <w:p>
      <w:pPr>
        <w:spacing w:before="0" w:line="239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turnover for such quarter shall be deemed to</w:t>
      </w:r>
    </w:p>
    <w:p>
      <w:pPr>
        <w:spacing w:before="0" w:line="240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be zero.”;</w:t>
      </w:r>
    </w:p>
    <w:p>
      <w:pPr>
        <w:spacing w:before="238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)-</w:t>
      </w:r>
    </w:p>
    <w:p>
      <w:pPr>
        <w:spacing w:before="239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item (viii) of sub-paragraph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of</w:t>
      </w:r>
    </w:p>
    <w:p>
      <w:pPr>
        <w:spacing w:before="0" w:line="240" w:lineRule="exact"/>
        <w:ind w:left="59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that paragraph, by the substitution for</w:t>
      </w:r>
    </w:p>
    <w:p>
      <w:pPr>
        <w:spacing w:before="0" w:line="240" w:lineRule="exact"/>
        <w:ind w:left="590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the words “Tourism Act, No. 38 of</w:t>
      </w:r>
    </w:p>
    <w:p>
      <w:pPr>
        <w:spacing w:before="0" w:line="239" w:lineRule="exact"/>
        <w:ind w:left="59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2005; and” of the words “Tourism Act,</w:t>
      </w:r>
    </w:p>
    <w:p>
      <w:pPr>
        <w:spacing w:before="0" w:line="239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No. 38 of 2005;” and</w:t>
      </w:r>
    </w:p>
    <w:p>
      <w:pPr>
        <w:spacing w:before="239" w:line="241" w:lineRule="exact"/>
        <w:ind w:left="5483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addition, immediately after item</w:t>
      </w:r>
    </w:p>
    <w:p>
      <w:pPr>
        <w:spacing w:before="0" w:line="240" w:lineRule="exact"/>
        <w:ind w:left="590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(viii) of sub-paragraph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of that</w:t>
      </w:r>
    </w:p>
    <w:p>
      <w:pPr>
        <w:spacing w:before="0" w:line="239" w:lineRule="exact"/>
        <w:ind w:left="59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paragraph, of the following new item:—</w:t>
      </w:r>
    </w:p>
    <w:p>
      <w:pPr>
        <w:spacing w:before="239" w:line="241" w:lineRule="exact"/>
        <w:ind w:left="5828"/>
      </w:pPr>
      <w:r>
        <w:rPr>
          <w:sz w:val="20"/>
          <w:szCs w:val="20"/>
          <w:rFonts w:ascii="Arial" w:hAnsi="Arial" w:cs="Arial"/>
          <w:color w:val="000100"/>
        </w:rPr>
        <w:t xml:space="preserve">“(ix)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proceeds from the sale of any clay</w:t>
      </w:r>
    </w:p>
    <w:p>
      <w:pPr>
        <w:spacing w:before="0" w:line="240" w:lineRule="exact"/>
        <w:ind w:left="63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roof tile or pottery product by any</w:t>
      </w:r>
    </w:p>
    <w:p>
      <w:pPr>
        <w:spacing w:before="0" w:line="239" w:lineRule="exact"/>
        <w:ind w:left="6383"/>
      </w:pPr>
      <w:r>
        <w:rPr>
          <w:sz w:val="20"/>
          <w:szCs w:val="20"/>
          <w:rFonts w:ascii="Arial" w:hAnsi="Arial" w:cs="Arial"/>
          <w:color w:val="000100"/>
        </w:rPr>
        <w:t xml:space="preserve">manufacturer of such product;</w:t>
      </w:r>
    </w:p>
    <w:p>
      <w:pPr>
        <w:spacing w:before="0" w:line="240" w:lineRule="exact"/>
        <w:ind w:left="6383"/>
      </w:pPr>
      <w:r>
        <w:rPr>
          <w:sz w:val="20"/>
          <w:szCs w:val="20"/>
          <w:rFonts w:ascii="Arial" w:hAnsi="Arial" w:cs="Arial"/>
          <w:color w:val="000100"/>
        </w:rPr>
        <w:t xml:space="preserve">and”.</w:t>
      </w:r>
    </w:p>
    <w:p>
      <w:pPr>
        <w:spacing w:before="224" w:line="26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Replacement of</w:t>
      </w:r>
      <w:r>
        <w:rPr>
          <w:sz w:val="16"/>
          <w:szCs w:val="16"/>
          <w:rFonts w:ascii="Arial" w:hAnsi="Arial" w:cs="Arial"/>
          <w:color w:val="000100"/>
          <w:spacing w:val="5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Schedule II to the principal enactment is hereby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Schedule II to</w:t>
      </w:r>
      <w:r>
        <w:rPr>
          <w:sz w:val="16"/>
          <w:szCs w:val="16"/>
          <w:rFonts w:ascii="Arial" w:hAnsi="Arial" w:cs="Arial"/>
          <w:color w:val="000100"/>
          <w:spacing w:val="43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repealed and the following Schedule is substituted therefor:-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03.07mm;margin-top:97.76mm;width:3.22mm;height:23.20mm;margin-left:103.07mm;margin-top:97.76mm;width:3.22mm;height:23.20mm;z-index:-1;mso-position-horizontal-relative:page;mso-position-vertical-relative:page;" coordsize="100000,100000" path="m0,0l10526,182l19736,729l27631,1459l35526,2372l42105,3649l46052,4927l48684,6569l49999,8211l49999,41605l51315,43248l53947,44890l59210,46350l64473,47445l72368,48540l80263,49270l89473,49817l100000,49999l89473,50182l80263,50729l72368,51459l64473,52372l53947,54927l51315,56569l49999,58211l49999,91605l48684,93248l46052,94890l42105,96350l35526,97445l27631,98540l19736,99270l10526,99817l0,99999nfe" fillcolor="#000000" strokecolor="#000000" strokeweight="0.00mm">
            <w10:wrap anchorx="page" anchory="page"/>
          </v:shape>
        </w:pict>
      </w:r>
      <w:r>
        <w:pict>
          <v:shape id="" o:spid="" style="position:absolute;margin-left:103.07mm;margin-top:124.26mm;width:3.22mm;height:73.87mm;margin-left:103.07mm;margin-top:124.26mm;width:3.22mm;height:73.87mm;z-index:-1;mso-position-horizontal-relative:page;mso-position-vertical-relative:page;" coordsize="100000,100000" path="m0,0l5263,57l10526,171l14473,401l19736,630l27631,1432l31578,1891l35526,2464l42105,3667l46052,5100l48684,6704l49999,8366l49999,41661l51315,43381l53947,44928l59210,46361l64473,47564l68421,48137l72368,48595l80263,49398l85526,49627l89473,49856l94736,49971l100000,50028l94736,50085l89473,50200l85526,50429l80263,50659l72368,51461l68421,51919l64473,52492l59210,53696l53947,55128l51315,56676l49999,58338l49999,91690l48684,93352l46052,94899l42105,96332l35526,97593l31578,98108l23684,99025l19736,99369l14473,99656l10526,99828l5263,99942l0,100000nfe" fillcolor="#000000" strokecolor="#000000" strokeweight="0.00mm">
            <w10:wrap anchorx="page" anchory="page"/>
          </v:shape>
        </w:pict>
      </w:r>
      <w:r>
        <w:pict>
          <v:shape id="" o:spid="" style="position:absolute;margin-left:103.07mm;margin-top:202.03mm;width:3.22mm;height:30.73mm;margin-left:103.07mm;margin-top:202.03mm;width:3.22mm;height:30.73mm;z-index:-1;mso-position-horizontal-relative:page;mso-position-vertical-relative:page;" coordsize="100000,100000" path="m0,0l10526,137l19736,688l27631,1377l35526,2479l42105,3719l46052,5096l48684,6611l49999,8264l49999,41735l51315,43388l53947,44903l59210,46418l64473,47520l72368,48622l80263,49311l89473,49862l100000,50000l89473,50137l80263,50688l72368,51377l64473,52479l59210,53719l53947,55096l51315,56749l49999,58402l49999,91735l48684,93388l46052,94903l42105,96418l35526,97520l27631,98622l19736,99311l10526,99862l0,100000nfe" fillcolor="#000000" strokecolor="#000000" strokeweight="0.00mm">
            <w10:wrap anchorx="page" anchory="page"/>
          </v:shape>
        </w:pict>
      </w:r>
      <w:r>
        <w:pict>
          <v:shape id="" o:spid="" style="position:absolute;margin-left:168.22mm;margin-top:213.98mm;width:3.88mm;height:3.70mm;margin-left:168.22mm;margin-top:213.98mm;width:3.88mm;height:3.7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664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Economic Service Charge (Amendment)</w:t>
      </w:r>
      <w:r>
        <w:rPr>
          <w:sz w:val="20"/>
          <w:szCs w:val="20"/>
          <w:rFonts w:ascii="Arial" w:hAnsi="Arial" w:cs="Arial"/>
          <w:color w:val="231f20"/>
          <w:spacing w:val="63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45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 No. 11 of 2012</w:t>
      </w:r>
    </w:p>
    <w:p>
      <w:pPr>
        <w:spacing w:before="278" w:line="192" w:lineRule="exact"/>
        <w:ind w:left="4833"/>
      </w:pPr>
      <w:r>
        <w:rPr>
          <w:sz w:val="16"/>
          <w:szCs w:val="16"/>
          <w:rFonts w:ascii="Arial" w:hAnsi="Arial" w:cs="Arial"/>
          <w:color w:val="000100"/>
        </w:rPr>
        <w:t xml:space="preserve">“Schedule II</w:t>
      </w:r>
      <w:r>
        <w:rPr>
          <w:sz w:val="16"/>
          <w:szCs w:val="16"/>
          <w:rFonts w:ascii="Arial" w:hAnsi="Arial" w:cs="Arial"/>
          <w:color w:val="000100"/>
          <w:spacing w:val="112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(Section 2)</w:t>
      </w:r>
    </w:p>
    <w:p>
      <w:pPr>
        <w:spacing w:before="205" w:line="192" w:lineRule="exact"/>
        <w:ind w:left="3117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For the period commencing on April 1, 2011 ending on March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31, 2012</w:t>
      </w:r>
    </w:p>
    <w:p>
      <w:pPr>
        <w:spacing w:before="108" w:line="201" w:lineRule="exact"/>
        <w:ind w:left="3364"/>
      </w:pPr>
      <w:r>
        <w:rPr>
          <w:sz w:val="16"/>
          <w:szCs w:val="16"/>
          <w:rFonts w:ascii="Arial" w:hAnsi="Arial" w:cs="Arial"/>
          <w:color w:val="000100"/>
        </w:rPr>
        <w:t xml:space="preserve">Part of the Liable Turnover</w:t>
      </w:r>
      <w:r>
        <w:rPr>
          <w:sz w:val="16"/>
          <w:szCs w:val="16"/>
          <w:rFonts w:ascii="Arial" w:hAnsi="Arial" w:cs="Arial"/>
          <w:color w:val="000100"/>
          <w:spacing w:val="44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Rate of the Service Charge</w:t>
      </w:r>
    </w:p>
    <w:p>
      <w:pPr>
        <w:spacing w:before="9" w:line="192" w:lineRule="exact"/>
        <w:ind w:left="5896"/>
      </w:pPr>
      <w:r>
        <w:rPr>
          <w:sz w:val="16"/>
          <w:szCs w:val="16"/>
          <w:rFonts w:ascii="Arial" w:hAnsi="Arial" w:cs="Arial"/>
          <w:color w:val="000100"/>
        </w:rPr>
        <w:t xml:space="preserve">Applicable to that Part</w:t>
      </w:r>
    </w:p>
    <w:p>
      <w:pPr>
        <w:spacing w:before="92" w:line="148" w:lineRule="exact"/>
        <w:ind w:left="5836"/>
      </w:pPr>
      <w:r>
        <w:rPr>
          <w:sz w:val="12"/>
          <w:szCs w:val="12"/>
          <w:rFonts w:ascii="Arial" w:hAnsi="Arial" w:cs="Arial"/>
          <w:color w:val="000000"/>
        </w:rPr>
        <w:t xml:space="preserve"/>
      </w:r>
    </w:p>
    <w:p>
      <w:pPr>
        <w:spacing w:before="43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1.(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4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 BOI apparel exporters</w:t>
      </w:r>
    </w:p>
    <w:p>
      <w:pPr>
        <w:spacing w:before="191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b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4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 BOI trading houses</w:t>
      </w:r>
    </w:p>
    <w:p>
      <w:pPr>
        <w:spacing w:before="0" w:line="112" w:lineRule="exact"/>
        <w:ind w:left="6570"/>
      </w:pPr>
      <w:r>
        <w:rPr>
          <w:sz w:val="16"/>
          <w:szCs w:val="16"/>
          <w:rFonts w:ascii="Arial" w:hAnsi="Arial" w:cs="Arial"/>
          <w:color w:val="000100"/>
        </w:rPr>
        <w:t xml:space="preserve">0.1%</w:t>
      </w:r>
    </w:p>
    <w:p>
      <w:pPr>
        <w:spacing w:before="78" w:line="192" w:lineRule="exact"/>
        <w:ind w:left="3052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c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4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 BOI textile manufacturers</w:t>
      </w:r>
    </w:p>
    <w:p>
      <w:pPr>
        <w:spacing w:before="0" w:line="191" w:lineRule="exact"/>
        <w:ind w:left="3337"/>
      </w:pPr>
      <w:r>
        <w:rPr>
          <w:sz w:val="16"/>
          <w:szCs w:val="16"/>
          <w:rFonts w:ascii="Arial" w:hAnsi="Arial" w:cs="Arial"/>
          <w:color w:val="000100"/>
        </w:rPr>
        <w:t xml:space="preserve">for supplying to exporters</w:t>
      </w:r>
    </w:p>
    <w:p>
      <w:pPr>
        <w:spacing w:before="140" w:line="243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2.(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4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profits from which are exempt</w:t>
      </w:r>
    </w:p>
    <w:p>
      <w:pPr>
        <w:spacing w:before="0" w:line="192" w:lineRule="exact"/>
        <w:ind w:left="3337"/>
      </w:pPr>
      <w:r>
        <w:rPr>
          <w:sz w:val="16"/>
          <w:szCs w:val="16"/>
          <w:rFonts w:ascii="Arial" w:hAnsi="Arial" w:cs="Arial"/>
          <w:color w:val="000100"/>
        </w:rPr>
        <w:t xml:space="preserve">from income tax.</w:t>
      </w:r>
    </w:p>
    <w:p>
      <w:pPr>
        <w:spacing w:before="191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b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4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tax at concessionary rates.</w:t>
      </w:r>
    </w:p>
    <w:p>
      <w:pPr>
        <w:spacing w:before="191" w:line="192" w:lineRule="exact"/>
        <w:ind w:left="3052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c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4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 loss.</w:t>
      </w:r>
    </w:p>
    <w:p>
      <w:pPr>
        <w:spacing w:before="191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d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4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 persons engaged in whole sale</w:t>
      </w:r>
    </w:p>
    <w:p>
      <w:pPr>
        <w:spacing w:before="0" w:line="192" w:lineRule="exact"/>
        <w:ind w:left="3337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or retail sale (other than sale by</w:t>
      </w:r>
    </w:p>
    <w:p>
      <w:pPr>
        <w:spacing w:before="0" w:line="192" w:lineRule="exact"/>
        <w:ind w:left="3337"/>
      </w:pPr>
      <w:r>
        <w:rPr>
          <w:spacing w:val="10"/>
          <w:sz w:val="16"/>
          <w:szCs w:val="16"/>
          <w:rFonts w:ascii="Arial" w:hAnsi="Arial" w:cs="Arial"/>
          <w:color w:val="000100"/>
        </w:rPr>
        <w:t xml:space="preserve">manufacturers, distributors as</w:t>
      </w:r>
    </w:p>
    <w:p>
      <w:pPr>
        <w:spacing w:before="0" w:line="192" w:lineRule="exact"/>
        <w:ind w:left="3337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defined in the ESC Act, and Dealers</w:t>
      </w:r>
      <w:r>
        <w:rPr>
          <w:sz w:val="16"/>
          <w:szCs w:val="16"/>
          <w:rFonts w:ascii="Arial" w:hAnsi="Arial" w:cs="Arial"/>
          <w:color w:val="000100"/>
          <w:spacing w:val="72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0.25%</w:t>
      </w:r>
    </w:p>
    <w:p>
      <w:pPr>
        <w:spacing w:before="0" w:line="192" w:lineRule="exact"/>
        <w:ind w:left="3337"/>
      </w:pPr>
      <w:r>
        <w:rPr>
          <w:sz w:val="16"/>
          <w:szCs w:val="16"/>
          <w:rFonts w:ascii="Arial" w:hAnsi="Arial" w:cs="Arial"/>
          <w:color w:val="000100"/>
        </w:rPr>
        <w:t xml:space="preserve">in Motor vehicles, liquor or tobacco</w:t>
      </w:r>
    </w:p>
    <w:p>
      <w:pPr>
        <w:spacing w:before="0" w:line="192" w:lineRule="exact"/>
        <w:ind w:left="3337"/>
      </w:pPr>
      <w:r>
        <w:rPr>
          <w:sz w:val="16"/>
          <w:szCs w:val="16"/>
          <w:rFonts w:ascii="Arial" w:hAnsi="Arial" w:cs="Arial"/>
          <w:color w:val="000100"/>
        </w:rPr>
        <w:t xml:space="preserve">products).</w:t>
      </w:r>
    </w:p>
    <w:p>
      <w:pPr>
        <w:spacing w:before="191" w:line="192" w:lineRule="exact"/>
        <w:ind w:left="3052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e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46"/>
        </w:rPr>
        <w:t xml:space="preserve"> </w:t>
      </w:r>
      <w:r>
        <w:rPr>
          <w:spacing w:val="6"/>
          <w:sz w:val="16"/>
          <w:szCs w:val="16"/>
          <w:rFonts w:ascii="Arial" w:hAnsi="Arial" w:cs="Arial"/>
          <w:color w:val="000100"/>
        </w:rPr>
        <w:t xml:space="preserve">from primary conversion of tea,</w:t>
      </w:r>
    </w:p>
    <w:p>
      <w:pPr>
        <w:spacing w:before="0" w:line="192" w:lineRule="exact"/>
        <w:ind w:left="3337"/>
      </w:pPr>
      <w:r>
        <w:rPr>
          <w:spacing w:val="14"/>
          <w:sz w:val="16"/>
          <w:szCs w:val="16"/>
          <w:rFonts w:ascii="Arial" w:hAnsi="Arial" w:cs="Arial"/>
          <w:color w:val="000100"/>
        </w:rPr>
        <w:t xml:space="preserve">rubber or coconuts including</w:t>
      </w:r>
    </w:p>
    <w:p>
      <w:pPr>
        <w:spacing w:before="0" w:line="192" w:lineRule="exact"/>
        <w:ind w:left="3337"/>
      </w:pPr>
      <w:r>
        <w:rPr>
          <w:sz w:val="16"/>
          <w:szCs w:val="16"/>
          <w:rFonts w:ascii="Arial" w:hAnsi="Arial" w:cs="Arial"/>
          <w:color w:val="000100"/>
        </w:rPr>
        <w:t xml:space="preserve">desiccated coconuts, coconut oil,</w:t>
      </w:r>
    </w:p>
    <w:p>
      <w:pPr>
        <w:spacing w:before="0" w:line="192" w:lineRule="exact"/>
        <w:ind w:left="3337"/>
      </w:pPr>
      <w:r>
        <w:rPr>
          <w:spacing w:val="9"/>
          <w:sz w:val="16"/>
          <w:szCs w:val="16"/>
          <w:rFonts w:ascii="Arial" w:hAnsi="Arial" w:cs="Arial"/>
          <w:color w:val="000100"/>
        </w:rPr>
        <w:t xml:space="preserve">coconut fiber, copra and sheet</w:t>
      </w:r>
    </w:p>
    <w:p>
      <w:pPr>
        <w:spacing w:before="0" w:line="192" w:lineRule="exact"/>
        <w:ind w:left="3337"/>
      </w:pPr>
      <w:r>
        <w:rPr>
          <w:sz w:val="16"/>
          <w:szCs w:val="16"/>
          <w:rFonts w:ascii="Arial" w:hAnsi="Arial" w:cs="Arial"/>
          <w:color w:val="000100"/>
        </w:rPr>
        <w:t xml:space="preserve">rubber</w:t>
      </w:r>
      <w:r>
        <w:rPr>
          <w:sz w:val="16"/>
          <w:szCs w:val="16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(excluding</w:t>
      </w:r>
      <w:r>
        <w:rPr>
          <w:sz w:val="16"/>
          <w:szCs w:val="16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alcoholic</w:t>
      </w:r>
    </w:p>
    <w:p>
      <w:pPr>
        <w:spacing w:before="0" w:line="192" w:lineRule="exact"/>
        <w:ind w:left="3337"/>
      </w:pPr>
      <w:r>
        <w:rPr>
          <w:sz w:val="16"/>
          <w:szCs w:val="16"/>
          <w:rFonts w:ascii="Arial" w:hAnsi="Arial" w:cs="Arial"/>
          <w:color w:val="000100"/>
        </w:rPr>
        <w:t xml:space="preserve">beverages).</w:t>
      </w:r>
    </w:p>
    <w:p>
      <w:pPr>
        <w:spacing w:before="191" w:line="192" w:lineRule="exact"/>
        <w:ind w:left="3081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f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4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 advertising agents.</w:t>
      </w:r>
    </w:p>
    <w:p>
      <w:pPr>
        <w:spacing w:before="103" w:line="215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3.</w:t>
      </w:r>
      <w:r>
        <w:rPr>
          <w:sz w:val="16"/>
          <w:szCs w:val="16"/>
          <w:rFonts w:ascii="Arial" w:hAnsi="Arial" w:cs="Arial"/>
          <w:color w:val="000100"/>
          <w:spacing w:val="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 any other business including-</w:t>
      </w:r>
    </w:p>
    <w:p>
      <w:pPr>
        <w:spacing w:before="256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4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dealers in motor vehicles, liquor or</w:t>
      </w:r>
    </w:p>
    <w:p>
      <w:pPr>
        <w:spacing w:before="0" w:line="192" w:lineRule="exact"/>
        <w:ind w:left="3337"/>
      </w:pPr>
      <w:r>
        <w:rPr>
          <w:sz w:val="16"/>
          <w:szCs w:val="16"/>
          <w:rFonts w:ascii="Arial" w:hAnsi="Arial" w:cs="Arial"/>
          <w:color w:val="000100"/>
        </w:rPr>
        <w:t xml:space="preserve">tobacco products.</w:t>
      </w:r>
      <w:r>
        <w:rPr>
          <w:sz w:val="16"/>
          <w:szCs w:val="16"/>
          <w:rFonts w:ascii="Arial" w:hAnsi="Arial" w:cs="Arial"/>
          <w:color w:val="000100"/>
          <w:spacing w:val="194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1%”</w:t>
      </w:r>
    </w:p>
    <w:p>
      <w:pPr>
        <w:spacing w:before="191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b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46"/>
        </w:rPr>
        <w:t xml:space="preserve"> </w:t>
      </w:r>
      <w:r>
        <w:rPr>
          <w:spacing w:val="9"/>
          <w:sz w:val="16"/>
          <w:szCs w:val="16"/>
          <w:rFonts w:ascii="Arial" w:hAnsi="Arial" w:cs="Arial"/>
          <w:color w:val="000100"/>
        </w:rPr>
        <w:t xml:space="preserve">businesses opted to follow the</w:t>
      </w:r>
    </w:p>
    <w:p>
      <w:pPr>
        <w:spacing w:before="0" w:line="192" w:lineRule="exact"/>
        <w:ind w:left="3337"/>
      </w:pPr>
      <w:r>
        <w:rPr>
          <w:sz w:val="16"/>
          <w:szCs w:val="16"/>
          <w:rFonts w:ascii="Arial" w:hAnsi="Arial" w:cs="Arial"/>
          <w:color w:val="000100"/>
        </w:rPr>
        <w:t xml:space="preserve">respective definition of turnover as</w:t>
      </w:r>
    </w:p>
    <w:p>
      <w:pPr>
        <w:spacing w:before="0" w:line="192" w:lineRule="exact"/>
        <w:ind w:left="3337"/>
      </w:pPr>
      <w:r>
        <w:rPr>
          <w:sz w:val="16"/>
          <w:szCs w:val="16"/>
          <w:rFonts w:ascii="Arial" w:hAnsi="Arial" w:cs="Arial"/>
          <w:color w:val="000100"/>
        </w:rPr>
        <w:t xml:space="preserve">defined by</w:t>
      </w:r>
      <w:r>
        <w:rPr>
          <w:sz w:val="16"/>
          <w:szCs w:val="16"/>
          <w:rFonts w:ascii="Arial" w:hAnsi="Arial" w:cs="Arial"/>
          <w:color w:val="000100"/>
          <w:spacing w:val="2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Gazette</w:t>
      </w:r>
      <w:r>
        <w:rPr>
          <w:sz w:val="16"/>
          <w:szCs w:val="16"/>
          <w:rFonts w:ascii="Arial" w:hAnsi="Arial" w:cs="Arial"/>
          <w:color w:val="000100"/>
          <w:spacing w:val="26"/>
        </w:rPr>
        <w:t xml:space="preserve"> </w:t>
      </w:r>
      <w:r>
        <w:rPr>
          <w:spacing w:val="9"/>
          <w:sz w:val="16"/>
          <w:szCs w:val="16"/>
          <w:rFonts w:ascii="Arial" w:hAnsi="Arial" w:cs="Arial"/>
          <w:color w:val="000100"/>
        </w:rPr>
        <w:t xml:space="preserve">Notification</w:t>
      </w:r>
    </w:p>
    <w:p>
      <w:pPr>
        <w:spacing w:before="0" w:line="192" w:lineRule="exact"/>
        <w:ind w:left="3337"/>
      </w:pPr>
      <w:r>
        <w:rPr>
          <w:sz w:val="16"/>
          <w:szCs w:val="16"/>
          <w:rFonts w:ascii="Arial" w:hAnsi="Arial" w:cs="Arial"/>
          <w:color w:val="000100"/>
        </w:rPr>
        <w:t xml:space="preserve">(notwithstanding the threshold)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74.57mm;margin-top:101.24mm;width:84.50mm;height:5.40mm;margin-left:74.57mm;margin-top:101.24mm;width:84.50mm;height:5.40mm;z-index:-1;mso-position-horizontal-relative:page;mso-position-vertical-relative:page;" coordsize="100000,100000" path="m0,0l99999,0l99999,99999l0,99999l0,0xnfe" fillcolor="#000100" strokecolor="#231f20" strokeweight="0.00mm">
            <w10:wrap anchorx="page" anchory="page"/>
          </v:shape>
        </w:pict>
      </w:r>
      <w:r>
        <w:pict>
          <v:shape id="" o:spid="" style="position:absolute;margin-left:125.37mm;margin-top:101.15mm;width:0.00mm;height:5.42mm;margin-left:125.37mm;margin-top:101.15mm;width:0.00mm;height:5.42mm;z-index:-1;mso-position-horizontal-relative:page;mso-position-vertical-relative:page;" coordsize="100000,100000" path="m-2147483648,0l-2147483648,100000nfe" fillcolor="#00010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631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Economic Service Charge (Amendment)</w:t>
      </w:r>
    </w:p>
    <w:p>
      <w:pPr>
        <w:spacing w:before="0" w:line="240" w:lineRule="exact"/>
        <w:ind w:left="58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 No. 11 of 2012</w:t>
      </w:r>
    </w:p>
    <w:p>
      <w:pPr>
        <w:spacing w:before="254" w:line="20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Insertion of</w:t>
      </w:r>
      <w:r>
        <w:rPr>
          <w:sz w:val="16"/>
          <w:szCs w:val="16"/>
          <w:rFonts w:ascii="Arial" w:hAnsi="Arial" w:cs="Arial"/>
          <w:color w:val="000100"/>
          <w:spacing w:val="78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following new Schedule is hereby inserted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Schedule III in</w:t>
      </w:r>
      <w:r>
        <w:rPr>
          <w:sz w:val="16"/>
          <w:szCs w:val="16"/>
          <w:rFonts w:ascii="Arial" w:hAnsi="Arial" w:cs="Arial"/>
          <w:color w:val="000100"/>
          <w:spacing w:val="37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immediately after Schedule II of the principal enactment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1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shall have effect as Schedule III of that enactment:-</w:t>
      </w:r>
    </w:p>
    <w:p>
      <w:pPr>
        <w:spacing w:before="0" w:line="7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69" w:line="192" w:lineRule="exact"/>
        <w:ind w:left="6150"/>
      </w:pPr>
      <w:r>
        <w:rPr>
          <w:sz w:val="16"/>
          <w:szCs w:val="16"/>
          <w:rFonts w:ascii="Arial" w:hAnsi="Arial" w:cs="Arial"/>
          <w:color w:val="000100"/>
        </w:rPr>
        <w:t xml:space="preserve">“Schedule III</w:t>
      </w:r>
      <w:r>
        <w:rPr>
          <w:sz w:val="16"/>
          <w:szCs w:val="16"/>
          <w:rFonts w:ascii="Arial" w:hAnsi="Arial" w:cs="Arial"/>
          <w:color w:val="000100"/>
          <w:spacing w:val="109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(Section 2)</w:t>
      </w:r>
    </w:p>
    <w:p>
      <w:pPr>
        <w:spacing w:before="191" w:line="192" w:lineRule="exact"/>
        <w:ind w:left="5010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For the period commencing on April 1, 2012</w:t>
      </w:r>
    </w:p>
    <w:p>
      <w:pPr>
        <w:spacing w:before="191" w:line="192" w:lineRule="exact"/>
        <w:ind w:left="4583"/>
      </w:pPr>
      <w:r>
        <w:rPr>
          <w:sz w:val="16"/>
          <w:szCs w:val="16"/>
          <w:rFonts w:ascii="Arial" w:hAnsi="Arial" w:cs="Arial"/>
          <w:color w:val="000100"/>
        </w:rPr>
        <w:t xml:space="preserve">On the liable turnover</w:t>
      </w:r>
      <w:r>
        <w:rPr>
          <w:sz w:val="16"/>
          <w:szCs w:val="16"/>
          <w:rFonts w:ascii="Arial" w:hAnsi="Arial" w:cs="Arial"/>
          <w:color w:val="000100"/>
          <w:spacing w:val="131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0.25 per centum.”.</w:t>
      </w:r>
    </w:p>
    <w:p>
      <w:pPr>
        <w:spacing w:before="226" w:line="26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Retrospective</w:t>
      </w:r>
      <w:r>
        <w:rPr>
          <w:sz w:val="16"/>
          <w:szCs w:val="16"/>
          <w:rFonts w:ascii="Arial" w:hAnsi="Arial" w:cs="Arial"/>
          <w:color w:val="000100"/>
          <w:spacing w:val="65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Schedule II of the principal enactment as replaced by</w:t>
      </w:r>
    </w:p>
    <w:p>
      <w:pPr>
        <w:spacing w:before="0" w:line="17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effect.</w:t>
      </w:r>
      <w:r>
        <w:rPr>
          <w:sz w:val="16"/>
          <w:szCs w:val="16"/>
          <w:rFonts w:ascii="Arial" w:hAnsi="Arial" w:cs="Arial"/>
          <w:color w:val="000100"/>
          <w:spacing w:val="919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section 3 of this Act shall for all purposes be deemed to have</w:t>
      </w:r>
    </w:p>
    <w:p>
      <w:pPr>
        <w:spacing w:before="55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come into operation on April 1, 2011.</w:t>
      </w:r>
    </w:p>
    <w:p>
      <w:pPr>
        <w:spacing w:before="231" w:line="26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  <w:r>
        <w:rPr>
          <w:sz w:val="16"/>
          <w:szCs w:val="16"/>
          <w:rFonts w:ascii="Arial" w:hAnsi="Arial" w:cs="Arial"/>
          <w:color w:val="000100"/>
          <w:spacing w:val="57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 the event of inconsistency between the Sinhala</w:t>
      </w:r>
    </w:p>
    <w:p>
      <w:pPr>
        <w:spacing w:before="0" w:line="168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prevail in the</w:t>
      </w:r>
      <w:r>
        <w:rPr>
          <w:sz w:val="16"/>
          <w:szCs w:val="16"/>
          <w:rFonts w:ascii="Arial" w:hAnsi="Arial" w:cs="Arial"/>
          <w:color w:val="000100"/>
          <w:spacing w:val="44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Tamil texts of this Act, the Sinhala text shall prevail.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case 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59.28mm;width:110.07mm;height:12.70mm;margin-left:50.75mm;margin-top:59.28mm;width:110.07mm;height:12.7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664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Economic Service Charge (Amendment)</w:t>
      </w:r>
      <w:r>
        <w:rPr>
          <w:sz w:val="20"/>
          <w:szCs w:val="20"/>
          <w:rFonts w:ascii="Arial" w:hAnsi="Arial" w:cs="Arial"/>
          <w:color w:val="231f20"/>
          <w:spacing w:val="63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45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 No. 11 of 2012</w:t>
      </w:r>
    </w:p>
    <w:p>
      <w:pPr>
        <w:spacing w:before="8812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2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3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165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