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56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URBAN COUNCILS (AMENDMENT)</w:t>
      </w:r>
    </w:p>
    <w:p>
      <w:pPr>
        <w:spacing w:before="0" w:line="343" w:lineRule="exact"/>
        <w:ind w:left="4595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35 OF 2014</w:t>
      </w:r>
    </w:p>
    <w:p>
      <w:pPr>
        <w:spacing w:before="1061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[Certified on 23rd October,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24,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89mm;margin-top:59.28mm;width:6.35mm;height:5.64mm;margin-left:131.89mm;margin-top:59.28mm;width:6.35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0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Urban Councils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0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2014</w:t>
      </w:r>
    </w:p>
    <w:p>
      <w:pPr>
        <w:spacing w:before="252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October, 2014]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03/2014.</w:t>
      </w:r>
    </w:p>
    <w:p>
      <w:pPr>
        <w:spacing w:before="290" w:line="229" w:lineRule="exact"/>
        <w:ind w:left="340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RBAN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OUNCILS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RDINANCE</w:t>
      </w:r>
    </w:p>
    <w:p>
      <w:pPr>
        <w:spacing w:before="29" w:line="229" w:lineRule="exact"/>
        <w:ind w:left="47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255)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8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This Act may be cited as the Urban Councils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0" w:line="97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(Amendment) Act, No. 35 of 2014 and shall come into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0" w:line="16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 on such date as the Minister may appoint by Order</w:t>
      </w:r>
    </w:p>
    <w:p>
      <w:pPr>
        <w:spacing w:before="21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311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</w:p>
    <w:p>
      <w:pPr>
        <w:spacing w:before="0" w:line="1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immediately after section 178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of the Urban Councils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new section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178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0" w:line="15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Ordinance (Chapter 255) and shall have effect as section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Urban Councils</w:t>
      </w:r>
    </w:p>
    <w:p>
      <w:pPr>
        <w:spacing w:before="27" w:line="20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Ordinance :—</w:t>
      </w:r>
      <w:r>
        <w:rPr>
          <w:sz w:val="20"/>
          <w:szCs w:val="20"/>
          <w:rFonts w:ascii="Times New Roman" w:hAnsi="Times New Roman" w:cs="Times New Roman"/>
          <w:color w:val="000000"/>
          <w:spacing w:val="281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Ordinance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(Chapter 255).</w:t>
      </w:r>
    </w:p>
    <w:p>
      <w:pPr>
        <w:spacing w:before="87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“Transitional</w:t>
      </w:r>
      <w:r>
        <w:rPr>
          <w:sz w:val="16"/>
          <w:szCs w:val="16"/>
          <w:rFonts w:ascii="Times New Roman" w:hAnsi="Times New Roman" w:cs="Times New Roman"/>
          <w:color w:val="000000"/>
          <w:spacing w:val="3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. The provisions of the proviso to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provision.</w:t>
      </w:r>
      <w:r>
        <w:rPr>
          <w:sz w:val="16"/>
          <w:szCs w:val="16"/>
          <w:rFonts w:ascii="Times New Roman" w:hAnsi="Times New Roman" w:cs="Times New Roman"/>
          <w:color w:val="000000"/>
          <w:spacing w:val="3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178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Urban Councils Ordinance</w:t>
      </w:r>
    </w:p>
    <w:p>
      <w:pPr>
        <w:spacing w:before="11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amended by the Local Authorities (Special</w:t>
      </w:r>
    </w:p>
    <w:p>
      <w:pPr>
        <w:spacing w:before="29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Provisions) Act, No. 21 of 2012 shall not be</w:t>
      </w:r>
    </w:p>
    <w:p>
      <w:pPr>
        <w:spacing w:before="2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applicable to any budget or supplementary</w:t>
      </w:r>
    </w:p>
    <w:p>
      <w:pPr>
        <w:spacing w:before="31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budget to be submitted to an Urban Council</w:t>
      </w:r>
    </w:p>
    <w:p>
      <w:pPr>
        <w:spacing w:before="29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constituted in terms of elections held prior to</w:t>
      </w:r>
    </w:p>
    <w:p>
      <w:pPr>
        <w:spacing w:before="29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the date of coming into operation of Local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Authorities (Special Provisions) Act, No. 21 of</w:t>
      </w:r>
    </w:p>
    <w:p>
      <w:pPr>
        <w:spacing w:before="29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2012 and Local Authorities Elections</w:t>
      </w:r>
    </w:p>
    <w:p>
      <w:pPr>
        <w:spacing w:before="29" w:line="229" w:lineRule="exact"/>
        <w:ind w:left="3957"/>
      </w:pPr>
      <w:r>
        <w:rPr>
          <w:spacing w:val="30"/>
          <w:sz w:val="20"/>
          <w:szCs w:val="20"/>
          <w:rFonts w:ascii="Times New Roman" w:hAnsi="Times New Roman" w:cs="Times New Roman"/>
          <w:color w:val="000000"/>
        </w:rPr>
        <w:t xml:space="preserve">(Amendment) Act, No. 22 of 2012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respectively.”.</w:t>
      </w:r>
    </w:p>
    <w:p>
      <w:pPr>
        <w:spacing w:before="222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89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4.35mm;width:110.07mm;height:22.58mm;margin-left:49.09mm;margin-top:54.35mm;width:110.07mm;height:22.5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Urban Councils (Amendment)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35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