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2.91mm;width:21.89mm;height:0.00mm;margin-left:95.20mm;margin-top:162.91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120" w:line="359" w:lineRule="exact"/>
        <w:ind w:left="2915"/>
      </w:pPr>
      <w:r>
        <w:rPr>
          <w:spacing w:val="10"/>
          <w:sz w:val="27"/>
          <w:szCs w:val="27"/>
          <w:rFonts w:ascii="Times New Roman" w:hAnsi="Times New Roman" w:cs="Times New Roman"/>
          <w:color w:val="231f20"/>
        </w:rPr>
        <w:t xml:space="preserve">ECONOMIC SERVICE CHARGE (AMENDMENT)</w:t>
      </w:r>
    </w:p>
    <w:p>
      <w:pPr>
        <w:spacing w:before="0" w:line="331" w:lineRule="exact"/>
        <w:ind w:left="4691"/>
      </w:pPr>
      <w:r>
        <w:rPr>
          <w:spacing w:val="6"/>
          <w:sz w:val="27"/>
          <w:szCs w:val="27"/>
          <w:rFonts w:ascii="Times New Roman" w:hAnsi="Times New Roman" w:cs="Times New Roman"/>
          <w:color w:val="231f20"/>
        </w:rPr>
        <w:t xml:space="preserve">ACT, No. 13 OF 2015</w:t>
      </w:r>
    </w:p>
    <w:p>
      <w:pPr>
        <w:spacing w:before="1031" w:line="26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October, 2015]</w:t>
      </w:r>
    </w:p>
    <w:p>
      <w:pPr>
        <w:spacing w:before="437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30, 2015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9.28mm;width:4.23mm;height:6.00mm;margin-left:132.77mm;margin-top:59.28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6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Economic Service Charge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13 of 2015</w:t>
      </w:r>
    </w:p>
    <w:p>
      <w:pPr>
        <w:spacing w:before="228" w:line="229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30th October, 2015]</w:t>
      </w:r>
    </w:p>
    <w:p>
      <w:pPr>
        <w:spacing w:before="2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13/2015</w:t>
      </w:r>
    </w:p>
    <w:p>
      <w:pPr>
        <w:spacing w:before="214" w:line="229" w:lineRule="exact"/>
        <w:ind w:left="346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CONOMIC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ERVICE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HARGE</w:t>
      </w:r>
    </w:p>
    <w:p>
      <w:pPr>
        <w:spacing w:before="0" w:line="220" w:lineRule="exact"/>
        <w:ind w:left="4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13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2006</w:t>
      </w:r>
    </w:p>
    <w:p>
      <w:pPr>
        <w:spacing w:before="21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0" w:line="223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follows:-</w:t>
      </w:r>
    </w:p>
    <w:p>
      <w:pPr>
        <w:spacing w:before="207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This Act may be cited as the Economic Service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Short title and</w:t>
      </w:r>
    </w:p>
    <w:p>
      <w:pPr>
        <w:spacing w:before="0" w:line="16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Charge (Amendment) Act, No. 13 of 2015.</w:t>
      </w:r>
      <w:r>
        <w:rPr>
          <w:sz w:val="20"/>
          <w:szCs w:val="20"/>
          <w:rFonts w:ascii="Times New Roman" w:hAnsi="Times New Roman" w:cs="Times New Roman"/>
          <w:color w:val="000000"/>
          <w:spacing w:val="1540"/>
        </w:rPr>
        <w:t xml:space="preserve"> 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dates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operation.</w:t>
      </w:r>
    </w:p>
    <w:p>
      <w:pPr>
        <w:spacing w:before="50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this Act other than sections 3, 4, 5</w:t>
      </w:r>
    </w:p>
    <w:p>
      <w:pPr>
        <w:spacing w:before="0" w:line="223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7 shall be deemed to have come into operation on April</w:t>
      </w:r>
    </w:p>
    <w:p>
      <w:pPr>
        <w:spacing w:before="0" w:line="22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1, 2015 and the provisions of sections 3, 4 and 5 of this Act</w:t>
      </w:r>
    </w:p>
    <w:p>
      <w:pPr>
        <w:spacing w:before="0" w:line="223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come into operation on such date as the Minister may</w:t>
      </w:r>
    </w:p>
    <w:p>
      <w:pPr>
        <w:spacing w:before="0" w:line="22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 by Order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The provisions</w:t>
      </w:r>
    </w:p>
    <w:p>
      <w:pPr>
        <w:spacing w:before="0" w:line="223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section 7 shall be deemed to have come into operation on</w:t>
      </w:r>
    </w:p>
    <w:p>
      <w:pPr>
        <w:spacing w:before="0" w:line="22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1, 2011.</w:t>
      </w:r>
    </w:p>
    <w:p>
      <w:pPr>
        <w:spacing w:before="185" w:line="23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 of the Economic Service Charge Act, No. 13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of  2006 (hereinafter  referred to  as the “principal enactment”)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section 3 of</w:t>
      </w:r>
    </w:p>
    <w:p>
      <w:pPr>
        <w:spacing w:before="0" w:line="191" w:lineRule="exact"/>
        <w:ind w:left="7917"/>
      </w:pPr>
      <w:r>
        <w:rPr>
          <w:spacing w:val="7"/>
          <w:sz w:val="16"/>
          <w:szCs w:val="16"/>
          <w:rFonts w:ascii="Palatino Linotype" w:hAnsi="Palatino Linotype" w:cs="Palatino Linotype"/>
          <w:color w:val="000000"/>
        </w:rPr>
        <w:t xml:space="preserve">Act, No. 13 of</w:t>
      </w:r>
    </w:p>
    <w:p>
      <w:pPr>
        <w:spacing w:before="0" w:line="80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last amended by Act, No.9 of 2014 is hereby further</w:t>
      </w:r>
    </w:p>
    <w:p>
      <w:pPr>
        <w:spacing w:before="0" w:line="111" w:lineRule="exact"/>
        <w:ind w:left="7917"/>
      </w:pPr>
      <w:r>
        <w:rPr>
          <w:sz w:val="16"/>
          <w:szCs w:val="16"/>
          <w:rFonts w:ascii="Palatino Linotype" w:hAnsi="Palatino Linotype" w:cs="Palatino Linotype"/>
          <w:color w:val="000000"/>
        </w:rPr>
        <w:t xml:space="preserve">2006.</w:t>
      </w:r>
    </w:p>
    <w:p>
      <w:pPr>
        <w:spacing w:before="0" w:line="11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by the insertion, immediately after subsection (3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22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of the following new subsection-</w:t>
      </w:r>
    </w:p>
    <w:p>
      <w:pPr>
        <w:spacing w:before="2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“(3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Where any commercial bank or specialized</w:t>
      </w:r>
    </w:p>
    <w:p>
      <w:pPr>
        <w:spacing w:before="0" w:line="223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bank licensed under the Banking Act, No. 30 of 1988,</w:t>
      </w:r>
    </w:p>
    <w:p>
      <w:pPr>
        <w:spacing w:before="0" w:line="220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company licensed under the Finance Business</w:t>
      </w:r>
    </w:p>
    <w:p>
      <w:pPr>
        <w:spacing w:before="0" w:line="223" w:lineRule="exact"/>
        <w:ind w:left="33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Act, No. 42 of 2011 or leasing company registered</w:t>
      </w:r>
    </w:p>
    <w:p>
      <w:pPr>
        <w:spacing w:before="0" w:line="220" w:lineRule="exact"/>
        <w:ind w:left="33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under the Finance Leasing Act, No. 56 of 2000, acquires</w:t>
      </w:r>
    </w:p>
    <w:p>
      <w:pPr>
        <w:spacing w:before="0" w:line="223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merges with the business of any other bank, finance</w:t>
      </w:r>
    </w:p>
    <w:p>
      <w:pPr>
        <w:spacing w:before="0" w:line="220" w:lineRule="exact"/>
        <w:ind w:left="33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company or leasing company under the Financial</w:t>
      </w:r>
    </w:p>
    <w:p>
      <w:pPr>
        <w:spacing w:before="0" w:line="223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Sector Consolidation Process of the Central Bank of</w:t>
      </w:r>
    </w:p>
    <w:p>
      <w:pPr>
        <w:spacing w:before="0" w:line="220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Sri Lanka and there remains any balance of service</w:t>
      </w:r>
    </w:p>
    <w:p>
      <w:pPr>
        <w:spacing w:before="0" w:line="223" w:lineRule="exact"/>
        <w:ind w:left="335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charge paid by such banks, finance companies or</w:t>
      </w:r>
    </w:p>
    <w:p>
      <w:pPr>
        <w:spacing w:before="0" w:line="220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leasing companies after the deduction from the income</w:t>
      </w:r>
    </w:p>
    <w:p>
      <w:pPr>
        <w:spacing w:before="0" w:line="223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tax payable in that year of acquisition or merger and</w:t>
      </w:r>
    </w:p>
    <w:p>
      <w:pPr>
        <w:spacing w:before="0" w:line="220" w:lineRule="exact"/>
        <w:ind w:left="335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which is entitled to be carried forward and deducted</w:t>
      </w:r>
    </w:p>
    <w:p>
      <w:pPr>
        <w:spacing w:before="0" w:line="223" w:lineRule="exact"/>
        <w:ind w:left="33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from income tax payable by such banks, finance</w:t>
      </w:r>
    </w:p>
    <w:p>
      <w:pPr>
        <w:spacing w:before="2" w:line="229" w:lineRule="exact"/>
        <w:ind w:left="335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companies or leasing companies, then such balance</w:t>
      </w:r>
    </w:p>
    <w:p>
      <w:pPr>
        <w:spacing w:before="234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009223—2,950 (09/2015)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Economic Service Charge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13 of 2015</w:t>
      </w:r>
    </w:p>
    <w:p>
      <w:pPr>
        <w:spacing w:before="243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shall be deductible from the income tax payable by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bank, finance company or leasing company that</w:t>
      </w:r>
    </w:p>
    <w:p>
      <w:pPr>
        <w:spacing w:before="14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acquired the business or with which the other bank,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company or leasing company merged, as if the</w:t>
      </w:r>
    </w:p>
    <w:p>
      <w:pPr>
        <w:spacing w:before="1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 bank, finance company or leasing company were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continuing to carry on the business.”.</w:t>
      </w:r>
    </w:p>
    <w:p>
      <w:pPr>
        <w:spacing w:before="252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5 of the principal enactment is hereby</w:t>
      </w:r>
    </w:p>
    <w:p>
      <w:pPr>
        <w:spacing w:before="0" w:line="16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5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amended, by the substitution for the words “by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4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communication in writing addressed to the Commissioner</w:t>
      </w:r>
    </w:p>
    <w:p>
      <w:pPr>
        <w:spacing w:before="0" w:line="7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7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General”, of the words “by communication in writing</w:t>
      </w:r>
    </w:p>
    <w:p>
      <w:pPr>
        <w:spacing w:before="17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addressed to the Commissioner General or by electronic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communication to the Commissioner General”.</w:t>
      </w:r>
    </w:p>
    <w:p>
      <w:pPr>
        <w:spacing w:before="260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as last amended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7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Act, No. 11 of 2011 is hereby amended in subsection (1)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section, by the substitution for the words “furnish to</w:t>
      </w:r>
    </w:p>
    <w:p>
      <w:pPr>
        <w:spacing w:before="17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 Assessor”, of the words “furnish in writing or by electronic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 to an Assessor”.</w:t>
      </w:r>
    </w:p>
    <w:p>
      <w:pPr>
        <w:spacing w:before="270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9 of the principal enactment as last amended</w:t>
      </w:r>
    </w:p>
    <w:p>
      <w:pPr>
        <w:spacing w:before="0" w:line="19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9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Act, No. 9 of 2014 is hereby amended in subsection (1)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section, by the substitution for the words “by notice in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writing require”, of the words “by notice in writing require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by notice in electronic communication require”.</w:t>
      </w:r>
    </w:p>
    <w:p>
      <w:pPr>
        <w:spacing w:before="275" w:line="195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10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000000"/>
          <w:spacing w:val="4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</w:t>
      </w:r>
      <w:r>
        <w:rPr>
          <w:sz w:val="16"/>
          <w:szCs w:val="16"/>
          <w:rFonts w:ascii="Times New Roman" w:hAnsi="Times New Roman" w:cs="Times New Roman"/>
          <w:color w:val="000000"/>
          <w:spacing w:val="41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immediately after section 10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principal enactment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have effect as section 10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enactment :-</w:t>
      </w:r>
    </w:p>
    <w:p>
      <w:pPr>
        <w:spacing w:before="503" w:line="205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“The use of</w:t>
      </w:r>
      <w:r>
        <w:rPr>
          <w:sz w:val="16"/>
          <w:szCs w:val="16"/>
          <w:rFonts w:ascii="Times New Roman" w:hAnsi="Times New Roman" w:cs="Times New Roman"/>
          <w:color w:val="000000"/>
          <w:spacing w:val="4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4"/>
          <w:sz w:val="20"/>
          <w:szCs w:val="20"/>
          <w:rFonts w:ascii="Times New Roman" w:hAnsi="Times New Roman" w:cs="Times New Roman"/>
          <w:color w:val="000000"/>
        </w:rPr>
        <w:t xml:space="preserve">The Minister may, on the</w:t>
      </w:r>
    </w:p>
    <w:p>
      <w:pPr>
        <w:spacing w:before="0" w:line="191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electronic</w:t>
      </w:r>
      <w:r>
        <w:rPr>
          <w:sz w:val="16"/>
          <w:szCs w:val="16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recommendation of the Commissioner  General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communications</w:t>
      </w:r>
    </w:p>
    <w:p>
      <w:pPr>
        <w:spacing w:before="0" w:line="138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electronic</w:t>
      </w:r>
      <w:r>
        <w:rPr>
          <w:sz w:val="16"/>
          <w:szCs w:val="16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Inland Revenue, make regulation for the</w:t>
      </w:r>
    </w:p>
    <w:p>
      <w:pPr>
        <w:spacing w:before="5" w:line="23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records.</w:t>
      </w:r>
      <w:r>
        <w:rPr>
          <w:sz w:val="16"/>
          <w:szCs w:val="16"/>
          <w:rFonts w:ascii="Times New Roman" w:hAnsi="Times New Roman" w:cs="Times New Roman"/>
          <w:color w:val="000000"/>
          <w:spacing w:val="4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authorizing or facilitating the use</w:t>
      </w:r>
    </w:p>
    <w:p>
      <w:pPr>
        <w:spacing w:before="17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electronic communications or electronic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records for matters specified in section 8 of the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Electronic Transactions Act, No. 19 of 2006.”.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Economic Service Charge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13 of 2015</w:t>
      </w:r>
    </w:p>
    <w:p>
      <w:pPr>
        <w:spacing w:before="25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Section 13 of the principal enactment as last amended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Act, No. 6 of 2013 is hereby further amended in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13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definition of the expression “person” as follows:-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6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by the substitution for the words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“Unit Trust or Mutual Fund; and”, of the words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“Unit Trust or Mutual Fund; ”;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by the substitution for the words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“the Central Bank of Sri Lanka;”, of the words “the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Central Bank of Sri Lanka; and”; and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new paragraph:-”</w:t>
      </w:r>
    </w:p>
    <w:p>
      <w:pPr>
        <w:spacing w:before="239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Lak Sathosa Limited registered under the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Companies Act, No. 7 of 2007 (effective from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April 1, 2011).”.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5.09mm;margin-top:59.28mm;width:104.07mm;height:12.70mm;margin-left:55.09mm;margin-top:59.28mm;width:104.0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Economic Service Charge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13 of 2015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Palatino Linotype">
    <w:panose1 w:val="02040502050505030304"/>
    <w:charset w:val="00"/>
    <w:pitch w:val="variable"/>
    <w:sig w:usb0="e0000387" w:usb1="40000013" w:usb2="00000000" w:usb3="00000000" w:csb0="2000019f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